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CA36" w14:textId="1D5FDE9F" w:rsidR="001641A5" w:rsidRPr="00715EB9" w:rsidRDefault="000D3D22">
      <w:pPr>
        <w:pStyle w:val="Style2"/>
        <w:framePr w:w="9158" w:h="879" w:hRule="exact" w:wrap="none" w:vAnchor="page" w:hAnchor="page" w:x="1643" w:y="1059"/>
        <w:shd w:val="clear" w:color="auto" w:fill="auto"/>
        <w:spacing w:after="0"/>
        <w:ind w:left="220"/>
        <w:rPr>
          <w:lang w:val="fr-CA"/>
        </w:rPr>
      </w:pPr>
      <w:bookmarkStart w:id="0" w:name="bookmark0"/>
      <w:r>
        <w:rPr>
          <w:lang w:val="fr-FR"/>
        </w:rPr>
        <w:t xml:space="preserve">SPÉCIFICATION POUR </w:t>
      </w:r>
      <w:r>
        <w:rPr>
          <w:lang w:val="fr-FR"/>
        </w:rPr>
        <w:br/>
        <w:t xml:space="preserve">LE REVÊTEMENT </w:t>
      </w:r>
      <w:r w:rsidR="00715EB9">
        <w:rPr>
          <w:lang w:val="fr-FR"/>
        </w:rPr>
        <w:t>IN</w:t>
      </w:r>
      <w:r w:rsidR="00715EB9" w:rsidRPr="00715EB9">
        <w:rPr>
          <w:lang w:val="fr-CA"/>
        </w:rPr>
        <w:t xml:space="preserve">TÉRIEUR </w:t>
      </w:r>
      <w:r>
        <w:rPr>
          <w:lang w:val="fr-FR"/>
        </w:rPr>
        <w:t xml:space="preserve">DES TUYAUX </w:t>
      </w:r>
      <w:r w:rsidR="00715EB9">
        <w:rPr>
          <w:lang w:val="fr-FR"/>
        </w:rPr>
        <w:t xml:space="preserve">D'ÉGOUT </w:t>
      </w:r>
      <w:r>
        <w:rPr>
          <w:lang w:val="fr-FR"/>
        </w:rPr>
        <w:t xml:space="preserve">EN FONTE DUCTILE </w:t>
      </w:r>
      <w:bookmarkEnd w:id="0"/>
    </w:p>
    <w:p w14:paraId="15CC563B" w14:textId="77777777" w:rsidR="001641A5" w:rsidRPr="00715EB9" w:rsidRDefault="000D3D22" w:rsidP="000D3D22">
      <w:pPr>
        <w:pStyle w:val="Style4"/>
        <w:framePr w:w="9158" w:h="13105" w:hRule="exact" w:wrap="none" w:vAnchor="page" w:hAnchor="page" w:x="1643" w:y="2590"/>
        <w:numPr>
          <w:ilvl w:val="0"/>
          <w:numId w:val="1"/>
        </w:numPr>
        <w:shd w:val="clear" w:color="auto" w:fill="auto"/>
        <w:tabs>
          <w:tab w:val="left" w:pos="652"/>
        </w:tabs>
        <w:spacing w:before="0"/>
        <w:ind w:left="200"/>
        <w:rPr>
          <w:lang w:val="fr-CA"/>
        </w:rPr>
      </w:pPr>
      <w:r>
        <w:rPr>
          <w:lang w:val="fr-FR"/>
        </w:rPr>
        <w:t>État de la fonte ductile avant la préparation de la surface</w:t>
      </w:r>
    </w:p>
    <w:p w14:paraId="5B14DC64" w14:textId="208C0314" w:rsidR="001641A5" w:rsidRPr="00AC5804" w:rsidRDefault="000D3D22" w:rsidP="00AC5804">
      <w:pPr>
        <w:pStyle w:val="Style6"/>
        <w:framePr w:w="9158" w:h="13105" w:hRule="exact" w:wrap="none" w:vAnchor="page" w:hAnchor="page" w:x="1643" w:y="2590"/>
        <w:shd w:val="clear" w:color="auto" w:fill="auto"/>
        <w:spacing w:after="105"/>
        <w:ind w:left="700" w:firstLine="0"/>
        <w:rPr>
          <w:lang w:val="fr-FR"/>
        </w:rPr>
      </w:pPr>
      <w:r>
        <w:rPr>
          <w:lang w:val="fr-FR"/>
        </w:rPr>
        <w:t>Tous les tuyaux et raccords</w:t>
      </w:r>
      <w:r w:rsidR="00715EB9">
        <w:rPr>
          <w:lang w:val="fr-FR"/>
        </w:rPr>
        <w:t xml:space="preserve"> en fonte</w:t>
      </w:r>
      <w:r>
        <w:rPr>
          <w:lang w:val="fr-FR"/>
        </w:rPr>
        <w:t xml:space="preserve"> ductile doivent être livrés à l</w:t>
      </w:r>
      <w:r w:rsidR="00903A24">
        <w:rPr>
          <w:lang w:val="fr-FR"/>
        </w:rPr>
        <w:t xml:space="preserve">’établissement responsable </w:t>
      </w:r>
      <w:r w:rsidR="002A1340">
        <w:rPr>
          <w:lang w:val="fr-FR"/>
        </w:rPr>
        <w:t>de l</w:t>
      </w:r>
      <w:r>
        <w:rPr>
          <w:lang w:val="fr-FR"/>
        </w:rPr>
        <w:t xml:space="preserve">'application sans </w:t>
      </w:r>
      <w:r w:rsidR="00DF4711">
        <w:rPr>
          <w:lang w:val="fr-FR"/>
        </w:rPr>
        <w:t>couche scellant</w:t>
      </w:r>
      <w:r w:rsidR="00AC5804">
        <w:rPr>
          <w:lang w:val="fr-FR"/>
        </w:rPr>
        <w:t xml:space="preserve">, revêtement en mortier de </w:t>
      </w:r>
      <w:r>
        <w:rPr>
          <w:lang w:val="fr-FR"/>
        </w:rPr>
        <w:t>ciment ou tout autre revêtement sur la surface intérieure. Étant donné que l'enlèvement de vieux revêtements peut ne pas être possible, la présente spécification vise à ce que tout l'intérieur du tuyau et des raccords en fonte ductile ne soit revêtu d'</w:t>
      </w:r>
      <w:r w:rsidR="00500374">
        <w:rPr>
          <w:lang w:val="fr-FR"/>
        </w:rPr>
        <w:t>auc</w:t>
      </w:r>
      <w:r>
        <w:rPr>
          <w:lang w:val="fr-FR"/>
        </w:rPr>
        <w:t xml:space="preserve">une substance avant l'application du matériau de revêtement spécifié et aucun revêtement ne doit avoir été appliqué </w:t>
      </w:r>
      <w:r w:rsidR="00500374">
        <w:rPr>
          <w:lang w:val="fr-FR"/>
        </w:rPr>
        <w:t xml:space="preserve">sur l’extérieur du tuyau </w:t>
      </w:r>
      <w:r w:rsidR="00922E42">
        <w:rPr>
          <w:lang w:val="fr-FR"/>
        </w:rPr>
        <w:t>sur les</w:t>
      </w:r>
      <w:r>
        <w:rPr>
          <w:lang w:val="fr-FR"/>
        </w:rPr>
        <w:t xml:space="preserve"> six premiers pouces </w:t>
      </w:r>
      <w:r w:rsidR="006C7E71">
        <w:rPr>
          <w:lang w:val="fr-FR"/>
        </w:rPr>
        <w:t xml:space="preserve">à partir du bout </w:t>
      </w:r>
      <w:r w:rsidR="00AC5804">
        <w:rPr>
          <w:lang w:val="fr-FR"/>
        </w:rPr>
        <w:t>uni</w:t>
      </w:r>
      <w:r>
        <w:rPr>
          <w:lang w:val="fr-FR"/>
        </w:rPr>
        <w:t>.</w:t>
      </w:r>
    </w:p>
    <w:p w14:paraId="4A57C2B1" w14:textId="7067747A" w:rsidR="001641A5" w:rsidRDefault="000D3D22" w:rsidP="000D3D22">
      <w:pPr>
        <w:pStyle w:val="Style4"/>
        <w:framePr w:w="9158" w:h="13105" w:hRule="exact" w:wrap="none" w:vAnchor="page" w:hAnchor="page" w:x="1643" w:y="2590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44" w:lineRule="exact"/>
      </w:pPr>
      <w:r>
        <w:rPr>
          <w:lang w:val="fr-FR"/>
        </w:rPr>
        <w:t xml:space="preserve">Matériau </w:t>
      </w:r>
      <w:r w:rsidR="00AC2C18">
        <w:rPr>
          <w:lang w:val="fr-FR"/>
        </w:rPr>
        <w:t>du</w:t>
      </w:r>
      <w:r>
        <w:rPr>
          <w:lang w:val="fr-FR"/>
        </w:rPr>
        <w:t xml:space="preserve"> </w:t>
      </w:r>
      <w:r w:rsidR="00AC2C18">
        <w:rPr>
          <w:lang w:val="fr-FR"/>
        </w:rPr>
        <w:t>revêtement</w:t>
      </w:r>
    </w:p>
    <w:p w14:paraId="23D4DC64" w14:textId="3BDE65A8" w:rsidR="001641A5" w:rsidRPr="00715EB9" w:rsidRDefault="000D3D22" w:rsidP="000D3D22">
      <w:pPr>
        <w:pStyle w:val="Style6"/>
        <w:framePr w:w="9158" w:h="13105" w:hRule="exact" w:wrap="none" w:vAnchor="page" w:hAnchor="page" w:x="1643" w:y="2590"/>
        <w:shd w:val="clear" w:color="auto" w:fill="auto"/>
        <w:spacing w:after="96"/>
        <w:ind w:left="700" w:firstLine="0"/>
        <w:rPr>
          <w:lang w:val="fr-CA"/>
        </w:rPr>
      </w:pPr>
      <w:r>
        <w:rPr>
          <w:lang w:val="fr-FR"/>
        </w:rPr>
        <w:t>L</w:t>
      </w:r>
      <w:r w:rsidR="00427AA5">
        <w:rPr>
          <w:lang w:val="fr-FR"/>
        </w:rPr>
        <w:t>e</w:t>
      </w:r>
      <w:r>
        <w:rPr>
          <w:lang w:val="fr-FR"/>
        </w:rPr>
        <w:t xml:space="preserve"> </w:t>
      </w:r>
      <w:r w:rsidR="00AC2C18">
        <w:rPr>
          <w:lang w:val="fr-FR"/>
        </w:rPr>
        <w:t>standard</w:t>
      </w:r>
      <w:r>
        <w:rPr>
          <w:lang w:val="fr-FR"/>
        </w:rPr>
        <w:t xml:space="preserve"> de qualité est </w:t>
      </w:r>
      <w:r w:rsidR="00AC2C18">
        <w:rPr>
          <w:lang w:val="fr-FR"/>
        </w:rPr>
        <w:t xml:space="preserve">l’époxy céramique </w:t>
      </w:r>
      <w:r>
        <w:rPr>
          <w:lang w:val="fr-FR"/>
        </w:rPr>
        <w:t>Protecto 401</w:t>
      </w:r>
      <w:r w:rsidR="00535E4E">
        <w:rPr>
          <w:vertAlign w:val="superscript"/>
          <w:lang w:val="fr-FR"/>
        </w:rPr>
        <w:t>TM</w:t>
      </w:r>
      <w:r>
        <w:rPr>
          <w:lang w:val="fr-FR"/>
        </w:rPr>
        <w:t xml:space="preserve">. Le matériau doit être un époxy </w:t>
      </w:r>
      <w:proofErr w:type="spellStart"/>
      <w:r>
        <w:rPr>
          <w:lang w:val="fr-FR"/>
        </w:rPr>
        <w:t>novalac</w:t>
      </w:r>
      <w:proofErr w:type="spellEnd"/>
      <w:r>
        <w:rPr>
          <w:lang w:val="fr-FR"/>
        </w:rPr>
        <w:t xml:space="preserve"> durci à l'amine contenant au moins 20 % en volume de pigment céramique de quartz. Toute demande de remplacement doit être accompagnée d'un historique </w:t>
      </w:r>
      <w:r w:rsidR="00BA6B75">
        <w:rPr>
          <w:lang w:val="fr-FR"/>
        </w:rPr>
        <w:t>fructueux</w:t>
      </w:r>
      <w:r w:rsidR="007C528A">
        <w:rPr>
          <w:lang w:val="fr-FR"/>
        </w:rPr>
        <w:t xml:space="preserve"> d’utilisation du revêtement</w:t>
      </w:r>
      <w:r>
        <w:rPr>
          <w:lang w:val="fr-FR"/>
        </w:rPr>
        <w:t xml:space="preserve"> </w:t>
      </w:r>
      <w:r w:rsidR="001264DA">
        <w:rPr>
          <w:lang w:val="fr-FR"/>
        </w:rPr>
        <w:t>pour les</w:t>
      </w:r>
      <w:r>
        <w:rPr>
          <w:lang w:val="fr-FR"/>
        </w:rPr>
        <w:t xml:space="preserve"> tuyau</w:t>
      </w:r>
      <w:r w:rsidR="001264DA">
        <w:rPr>
          <w:lang w:val="fr-FR"/>
        </w:rPr>
        <w:t>x</w:t>
      </w:r>
      <w:r>
        <w:rPr>
          <w:lang w:val="fr-FR"/>
        </w:rPr>
        <w:t xml:space="preserve"> et </w:t>
      </w:r>
      <w:r w:rsidR="001264DA">
        <w:rPr>
          <w:lang w:val="fr-FR"/>
        </w:rPr>
        <w:t>les</w:t>
      </w:r>
      <w:r>
        <w:rPr>
          <w:lang w:val="fr-FR"/>
        </w:rPr>
        <w:t xml:space="preserve"> raccords pour le</w:t>
      </w:r>
      <w:r w:rsidR="00B227FF">
        <w:rPr>
          <w:lang w:val="fr-FR"/>
        </w:rPr>
        <w:t>s</w:t>
      </w:r>
      <w:r>
        <w:rPr>
          <w:lang w:val="fr-FR"/>
        </w:rPr>
        <w:t xml:space="preserve"> </w:t>
      </w:r>
      <w:r w:rsidR="00B227FF">
        <w:rPr>
          <w:lang w:val="fr-FR"/>
        </w:rPr>
        <w:t>conduites</w:t>
      </w:r>
      <w:r>
        <w:rPr>
          <w:lang w:val="fr-FR"/>
        </w:rPr>
        <w:t xml:space="preserve"> d'égout, d'un rapport d'essai vérifiant les propriétés suivantes et d'une certification des résultats d'essai.</w:t>
      </w:r>
    </w:p>
    <w:p w14:paraId="3817A4DF" w14:textId="77777777" w:rsidR="001641A5" w:rsidRPr="00715EB9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2"/>
        </w:numPr>
        <w:shd w:val="clear" w:color="auto" w:fill="auto"/>
        <w:tabs>
          <w:tab w:val="left" w:pos="1238"/>
        </w:tabs>
        <w:spacing w:after="108" w:line="254" w:lineRule="exact"/>
        <w:ind w:left="1240"/>
        <w:rPr>
          <w:lang w:val="fr-CA"/>
        </w:rPr>
      </w:pPr>
      <w:r>
        <w:rPr>
          <w:lang w:val="fr-FR"/>
        </w:rPr>
        <w:t>Un indice de perméabilité de 0,00 lorsqu'il est testé conformément à la méthode A de l'ASTM E-96-66, Procédure A, d'une durée d'essai de 30 jours.</w:t>
      </w:r>
    </w:p>
    <w:p w14:paraId="7E1CCFDB" w14:textId="0A98FFBD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2"/>
        </w:numPr>
        <w:shd w:val="clear" w:color="auto" w:fill="auto"/>
        <w:tabs>
          <w:tab w:val="left" w:pos="1238"/>
        </w:tabs>
        <w:spacing w:after="92" w:line="244" w:lineRule="exact"/>
        <w:ind w:left="1240"/>
        <w:rPr>
          <w:lang w:val="fr-CA"/>
        </w:rPr>
      </w:pPr>
      <w:r w:rsidRPr="001D0156">
        <w:rPr>
          <w:lang w:val="fr-FR"/>
        </w:rPr>
        <w:t xml:space="preserve">L'essai suivant doit être exécuté sur des </w:t>
      </w:r>
      <w:r w:rsidR="00D84CB1" w:rsidRPr="001D0156">
        <w:rPr>
          <w:lang w:val="fr-FR"/>
        </w:rPr>
        <w:t>échantillons</w:t>
      </w:r>
      <w:r w:rsidRPr="001D0156">
        <w:rPr>
          <w:lang w:val="fr-FR"/>
        </w:rPr>
        <w:t xml:space="preserve"> de tuyaux en fonte ductile </w:t>
      </w:r>
      <w:r w:rsidR="00B11247" w:rsidRPr="001D0156">
        <w:rPr>
          <w:lang w:val="fr-FR"/>
        </w:rPr>
        <w:t>revêtus</w:t>
      </w:r>
      <w:r w:rsidRPr="001D0156">
        <w:rPr>
          <w:lang w:val="fr-FR"/>
        </w:rPr>
        <w:t xml:space="preserve"> </w:t>
      </w:r>
      <w:r w:rsidR="00453566" w:rsidRPr="001D0156">
        <w:rPr>
          <w:lang w:val="fr-FR"/>
        </w:rPr>
        <w:t xml:space="preserve">en </w:t>
      </w:r>
      <w:r w:rsidRPr="001D0156">
        <w:rPr>
          <w:lang w:val="fr-FR"/>
        </w:rPr>
        <w:t>usine :</w:t>
      </w:r>
    </w:p>
    <w:p w14:paraId="325F0463" w14:textId="3ACDD913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3"/>
        </w:numPr>
        <w:shd w:val="clear" w:color="auto" w:fill="auto"/>
        <w:tabs>
          <w:tab w:val="left" w:pos="1589"/>
        </w:tabs>
        <w:spacing w:line="254" w:lineRule="exact"/>
        <w:ind w:left="1600" w:hanging="360"/>
        <w:rPr>
          <w:lang w:val="fr-CA"/>
        </w:rPr>
      </w:pPr>
      <w:r w:rsidRPr="001D0156">
        <w:rPr>
          <w:lang w:val="fr-FR"/>
        </w:rPr>
        <w:t xml:space="preserve">ASTM B-117 Salt Spray (panneau </w:t>
      </w:r>
      <w:r w:rsidR="00453566" w:rsidRPr="001D0156">
        <w:rPr>
          <w:lang w:val="fr-FR"/>
        </w:rPr>
        <w:t>gravé</w:t>
      </w:r>
      <w:r w:rsidRPr="001D0156">
        <w:rPr>
          <w:lang w:val="fr-FR"/>
        </w:rPr>
        <w:t xml:space="preserve">) - Résultats égaux à 0,0 </w:t>
      </w:r>
      <w:r w:rsidR="0081426B" w:rsidRPr="001D0156">
        <w:rPr>
          <w:lang w:val="fr-FR"/>
        </w:rPr>
        <w:t>évalué</w:t>
      </w:r>
      <w:r w:rsidRPr="001D0156">
        <w:rPr>
          <w:lang w:val="fr-FR"/>
        </w:rPr>
        <w:t xml:space="preserve"> après deux ans.</w:t>
      </w:r>
    </w:p>
    <w:p w14:paraId="02381F50" w14:textId="4AEF6E22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3"/>
        </w:numPr>
        <w:shd w:val="clear" w:color="auto" w:fill="auto"/>
        <w:tabs>
          <w:tab w:val="left" w:pos="1589"/>
        </w:tabs>
        <w:spacing w:after="104" w:line="254" w:lineRule="exact"/>
        <w:ind w:left="1600" w:hanging="360"/>
        <w:rPr>
          <w:lang w:val="fr-CA"/>
        </w:rPr>
      </w:pPr>
      <w:r w:rsidRPr="001D0156">
        <w:rPr>
          <w:lang w:val="fr-FR"/>
        </w:rPr>
        <w:t>ASTM G-95 Dé</w:t>
      </w:r>
      <w:r w:rsidR="00E65F12" w:rsidRPr="001D0156">
        <w:rPr>
          <w:lang w:val="fr-FR"/>
        </w:rPr>
        <w:t>collement</w:t>
      </w:r>
      <w:r w:rsidRPr="001D0156">
        <w:rPr>
          <w:lang w:val="fr-FR"/>
        </w:rPr>
        <w:t xml:space="preserve"> cathodique 1,5 volts @ 77°F. </w:t>
      </w:r>
      <w:r w:rsidR="000D0D18" w:rsidRPr="001D0156">
        <w:rPr>
          <w:lang w:val="fr-FR"/>
        </w:rPr>
        <w:t xml:space="preserve">Résultat ne doit pas être </w:t>
      </w:r>
      <w:r w:rsidR="005C2967" w:rsidRPr="001D0156">
        <w:rPr>
          <w:lang w:val="fr-FR"/>
        </w:rPr>
        <w:t>supérieur à</w:t>
      </w:r>
      <w:r w:rsidRPr="001D0156">
        <w:rPr>
          <w:lang w:val="fr-FR"/>
        </w:rPr>
        <w:t xml:space="preserve"> 0,5 mm de </w:t>
      </w:r>
      <w:r w:rsidR="005C2967" w:rsidRPr="001D0156">
        <w:rPr>
          <w:lang w:val="fr-FR"/>
        </w:rPr>
        <w:t>dégagement</w:t>
      </w:r>
      <w:r w:rsidRPr="001D0156">
        <w:rPr>
          <w:lang w:val="fr-FR"/>
        </w:rPr>
        <w:t xml:space="preserve"> après 30 jours.</w:t>
      </w:r>
    </w:p>
    <w:p w14:paraId="3E15EF45" w14:textId="113F04BF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3"/>
        </w:numPr>
        <w:shd w:val="clear" w:color="auto" w:fill="auto"/>
        <w:tabs>
          <w:tab w:val="left" w:pos="1589"/>
        </w:tabs>
        <w:spacing w:after="0"/>
        <w:ind w:left="1240" w:firstLine="0"/>
        <w:rPr>
          <w:lang w:val="fr-CA"/>
        </w:rPr>
      </w:pPr>
      <w:r w:rsidRPr="001D0156">
        <w:rPr>
          <w:lang w:val="fr-FR"/>
        </w:rPr>
        <w:t xml:space="preserve">Essais d'immersion évalués </w:t>
      </w:r>
      <w:r w:rsidR="00161A8B" w:rsidRPr="001D0156">
        <w:rPr>
          <w:lang w:val="fr-FR"/>
        </w:rPr>
        <w:t>selon</w:t>
      </w:r>
      <w:r w:rsidRPr="001D0156">
        <w:rPr>
          <w:lang w:val="fr-FR"/>
        </w:rPr>
        <w:t xml:space="preserve"> la norme ASTM D-714-87.</w:t>
      </w:r>
    </w:p>
    <w:p w14:paraId="6A88EE2D" w14:textId="77777777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4"/>
        </w:numPr>
        <w:shd w:val="clear" w:color="auto" w:fill="auto"/>
        <w:tabs>
          <w:tab w:val="left" w:pos="1979"/>
        </w:tabs>
        <w:spacing w:after="0"/>
        <w:ind w:left="1960" w:hanging="360"/>
        <w:rPr>
          <w:lang w:val="fr-CA"/>
        </w:rPr>
      </w:pPr>
      <w:r w:rsidRPr="001D0156">
        <w:rPr>
          <w:lang w:val="fr-FR"/>
        </w:rPr>
        <w:t>20 % d'acide sulfurique — Aucun effet après deux ans.</w:t>
      </w:r>
    </w:p>
    <w:p w14:paraId="22262976" w14:textId="77777777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4"/>
        </w:numPr>
        <w:shd w:val="clear" w:color="auto" w:fill="auto"/>
        <w:tabs>
          <w:tab w:val="left" w:pos="1979"/>
        </w:tabs>
        <w:spacing w:after="0"/>
        <w:ind w:left="1960" w:hanging="360"/>
        <w:rPr>
          <w:lang w:val="fr-CA"/>
        </w:rPr>
      </w:pPr>
      <w:r w:rsidRPr="001D0156">
        <w:rPr>
          <w:lang w:val="fr-FR"/>
        </w:rPr>
        <w:t>140 °F 25% Hydroxyde de sodium — Aucun effet après deux ans.</w:t>
      </w:r>
    </w:p>
    <w:p w14:paraId="2D116A09" w14:textId="77777777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4"/>
        </w:numPr>
        <w:shd w:val="clear" w:color="auto" w:fill="auto"/>
        <w:tabs>
          <w:tab w:val="left" w:pos="1979"/>
        </w:tabs>
        <w:spacing w:after="0"/>
        <w:ind w:left="1960" w:hanging="360"/>
        <w:rPr>
          <w:lang w:val="fr-CA"/>
        </w:rPr>
      </w:pPr>
      <w:r w:rsidRPr="001D0156">
        <w:rPr>
          <w:lang w:val="fr-FR"/>
        </w:rPr>
        <w:t>Eau distillée à 160 °F — Aucun effet après deux ans.</w:t>
      </w:r>
    </w:p>
    <w:p w14:paraId="101DB0C4" w14:textId="63205F12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4"/>
        </w:numPr>
        <w:shd w:val="clear" w:color="auto" w:fill="auto"/>
        <w:tabs>
          <w:tab w:val="left" w:pos="1979"/>
        </w:tabs>
        <w:spacing w:after="105"/>
        <w:ind w:left="1960" w:right="540" w:hanging="360"/>
        <w:rPr>
          <w:lang w:val="fr-CA"/>
        </w:rPr>
      </w:pPr>
      <w:r w:rsidRPr="001D0156">
        <w:rPr>
          <w:lang w:val="fr-FR"/>
        </w:rPr>
        <w:t xml:space="preserve">Eau du robinet de 120°F (panneau </w:t>
      </w:r>
      <w:r w:rsidR="00161A8B" w:rsidRPr="001D0156">
        <w:rPr>
          <w:lang w:val="fr-FR"/>
        </w:rPr>
        <w:t>gravé</w:t>
      </w:r>
      <w:r w:rsidRPr="001D0156">
        <w:rPr>
          <w:lang w:val="fr-FR"/>
        </w:rPr>
        <w:t xml:space="preserve">) —0,0 </w:t>
      </w:r>
      <w:r w:rsidR="00161A8B" w:rsidRPr="001D0156">
        <w:rPr>
          <w:lang w:val="fr-FR"/>
        </w:rPr>
        <w:t>évalué</w:t>
      </w:r>
      <w:r w:rsidRPr="001D0156">
        <w:rPr>
          <w:lang w:val="fr-FR"/>
        </w:rPr>
        <w:t xml:space="preserve"> après deux ans sans effet.</w:t>
      </w:r>
    </w:p>
    <w:p w14:paraId="1BCD6E34" w14:textId="6012472E" w:rsidR="001641A5" w:rsidRPr="001D0156" w:rsidRDefault="000D3D22" w:rsidP="00E14F4A">
      <w:pPr>
        <w:pStyle w:val="Style6"/>
        <w:framePr w:w="9158" w:h="13105" w:hRule="exact" w:wrap="none" w:vAnchor="page" w:hAnchor="page" w:x="1643" w:y="2590"/>
        <w:numPr>
          <w:ilvl w:val="0"/>
          <w:numId w:val="3"/>
        </w:numPr>
        <w:shd w:val="clear" w:color="auto" w:fill="auto"/>
        <w:tabs>
          <w:tab w:val="left" w:pos="1589"/>
        </w:tabs>
        <w:spacing w:after="0" w:line="244" w:lineRule="exact"/>
        <w:ind w:left="1240" w:firstLine="0"/>
        <w:rPr>
          <w:lang w:val="fr-CA"/>
        </w:rPr>
      </w:pPr>
      <w:r w:rsidRPr="001D0156">
        <w:rPr>
          <w:lang w:val="fr-FR"/>
        </w:rPr>
        <w:t xml:space="preserve">ASTM G-22 90 Pratique standard pour déterminer la résistance des </w:t>
      </w:r>
      <w:r w:rsidR="00E05D1B" w:rsidRPr="001D0156">
        <w:rPr>
          <w:lang w:val="fr-FR"/>
        </w:rPr>
        <w:t xml:space="preserve">matériaux de </w:t>
      </w:r>
      <w:r w:rsidRPr="001D0156">
        <w:rPr>
          <w:lang w:val="fr-FR"/>
        </w:rPr>
        <w:t xml:space="preserve">polymère </w:t>
      </w:r>
      <w:r w:rsidR="00E14F4A" w:rsidRPr="001D0156">
        <w:rPr>
          <w:lang w:val="fr-CA"/>
        </w:rPr>
        <w:t>s</w:t>
      </w:r>
      <w:r w:rsidRPr="001D0156">
        <w:rPr>
          <w:lang w:val="fr-FR"/>
        </w:rPr>
        <w:t>ynthétique</w:t>
      </w:r>
      <w:r w:rsidR="00B07D29" w:rsidRPr="001D0156">
        <w:rPr>
          <w:lang w:val="fr-CA"/>
        </w:rPr>
        <w:t xml:space="preserve"> </w:t>
      </w:r>
      <w:r w:rsidRPr="001D0156">
        <w:rPr>
          <w:lang w:val="fr-FR"/>
        </w:rPr>
        <w:t>aux bactéries. Le test doit déterminer la résistance à la croissance d</w:t>
      </w:r>
      <w:r w:rsidR="00F57D91" w:rsidRPr="001D0156">
        <w:rPr>
          <w:lang w:val="fr-FR"/>
        </w:rPr>
        <w:t xml:space="preserve">e la bactérie </w:t>
      </w:r>
      <w:r w:rsidRPr="001D0156">
        <w:rPr>
          <w:lang w:val="fr-FR"/>
        </w:rPr>
        <w:t>Acidithiobacillus</w:t>
      </w:r>
      <w:bookmarkStart w:id="1" w:name="_GoBack"/>
      <w:bookmarkEnd w:id="1"/>
      <w:r w:rsidRPr="001D0156">
        <w:rPr>
          <w:lang w:val="fr-FR"/>
        </w:rPr>
        <w:t xml:space="preserve"> et doit être effectué à 30 degrés centigrades pendant une période de 7 jours sur un minimum de 4 panneaux. La croissance doit être limitée qu'à des traces de bactéries.</w:t>
      </w:r>
    </w:p>
    <w:p w14:paraId="050787CA" w14:textId="77777777" w:rsidR="00330F10" w:rsidRPr="001D0156" w:rsidRDefault="00330F10" w:rsidP="00B07D29">
      <w:pPr>
        <w:pStyle w:val="Style6"/>
        <w:framePr w:w="9158" w:h="13105" w:hRule="exact" w:wrap="none" w:vAnchor="page" w:hAnchor="page" w:x="1643" w:y="2590"/>
        <w:shd w:val="clear" w:color="auto" w:fill="auto"/>
        <w:tabs>
          <w:tab w:val="left" w:pos="1589"/>
        </w:tabs>
        <w:spacing w:after="0" w:line="244" w:lineRule="exact"/>
        <w:ind w:left="1980" w:firstLine="0"/>
        <w:rPr>
          <w:lang w:val="fr-CA"/>
        </w:rPr>
      </w:pPr>
    </w:p>
    <w:p w14:paraId="33097963" w14:textId="755D07F6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2"/>
        </w:numPr>
        <w:shd w:val="clear" w:color="auto" w:fill="auto"/>
        <w:tabs>
          <w:tab w:val="left" w:pos="1238"/>
        </w:tabs>
        <w:spacing w:after="108" w:line="254" w:lineRule="exact"/>
        <w:ind w:left="1240"/>
        <w:rPr>
          <w:lang w:val="fr-CA"/>
        </w:rPr>
      </w:pPr>
      <w:r w:rsidRPr="001D0156">
        <w:rPr>
          <w:lang w:val="fr-FR"/>
        </w:rPr>
        <w:t xml:space="preserve">Une résistance à l'abrasion ne dépassant pas </w:t>
      </w:r>
      <w:r w:rsidR="00E83A84" w:rsidRPr="001D0156">
        <w:rPr>
          <w:lang w:val="fr-FR"/>
        </w:rPr>
        <w:t>75</w:t>
      </w:r>
      <w:r w:rsidR="00E83A84" w:rsidRPr="001D0156">
        <w:t>μ</w:t>
      </w:r>
      <w:r w:rsidR="00E83A84" w:rsidRPr="001D0156">
        <w:rPr>
          <w:lang w:val="fr-CA"/>
        </w:rPr>
        <w:t>m</w:t>
      </w:r>
      <w:r w:rsidRPr="001D0156">
        <w:rPr>
          <w:lang w:val="fr-FR"/>
        </w:rPr>
        <w:t xml:space="preserve"> de perte après un million de cycles selon la norme européenne EN 598 : 1994 Section 7.8 Résistance à l'abrasion.</w:t>
      </w:r>
    </w:p>
    <w:p w14:paraId="0D82A329" w14:textId="77777777" w:rsidR="001641A5" w:rsidRPr="001D0156" w:rsidRDefault="000D3D22" w:rsidP="000D3D22">
      <w:pPr>
        <w:pStyle w:val="Style4"/>
        <w:framePr w:w="9158" w:h="13105" w:hRule="exact" w:wrap="none" w:vAnchor="page" w:hAnchor="page" w:x="1643" w:y="2590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96" w:line="244" w:lineRule="exact"/>
      </w:pPr>
      <w:r w:rsidRPr="001D0156">
        <w:rPr>
          <w:lang w:val="fr-FR"/>
        </w:rPr>
        <w:t>Application</w:t>
      </w:r>
    </w:p>
    <w:p w14:paraId="67BA075A" w14:textId="77777777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5"/>
        </w:numPr>
        <w:shd w:val="clear" w:color="auto" w:fill="auto"/>
        <w:tabs>
          <w:tab w:val="left" w:pos="1238"/>
        </w:tabs>
        <w:spacing w:after="0"/>
        <w:ind w:left="1240"/>
      </w:pPr>
      <w:r w:rsidRPr="001D0156">
        <w:rPr>
          <w:lang w:val="fr-FR"/>
        </w:rPr>
        <w:t>Applicateur</w:t>
      </w:r>
    </w:p>
    <w:p w14:paraId="66B8EF05" w14:textId="401C7AC5" w:rsidR="001641A5" w:rsidRPr="001D0156" w:rsidRDefault="000D3D22" w:rsidP="000D3D22">
      <w:pPr>
        <w:pStyle w:val="Style6"/>
        <w:framePr w:w="9158" w:h="13105" w:hRule="exact" w:wrap="none" w:vAnchor="page" w:hAnchor="page" w:x="1643" w:y="2590"/>
        <w:shd w:val="clear" w:color="auto" w:fill="auto"/>
        <w:spacing w:after="105"/>
        <w:ind w:left="1240" w:firstLine="0"/>
        <w:rPr>
          <w:lang w:val="fr-CA"/>
        </w:rPr>
      </w:pPr>
      <w:r w:rsidRPr="001D0156">
        <w:rPr>
          <w:lang w:val="fr-FR"/>
        </w:rPr>
        <w:t>Le revêtement doit être appliqué par une entreprise certifiée ayant déjà appliqué avec succès des revêtements à l'intérieur des tuyaux et des raccords en fonte ductile. Tous les applicateurs doivent faire l'objet d'une inspection indépendante au moins deux fois par an</w:t>
      </w:r>
      <w:r w:rsidR="009427B0" w:rsidRPr="001D0156">
        <w:rPr>
          <w:lang w:val="fr-FR"/>
        </w:rPr>
        <w:t>née</w:t>
      </w:r>
      <w:r w:rsidRPr="001D0156">
        <w:rPr>
          <w:lang w:val="fr-FR"/>
        </w:rPr>
        <w:t xml:space="preserve"> afin </w:t>
      </w:r>
      <w:r w:rsidR="009427B0" w:rsidRPr="001D0156">
        <w:rPr>
          <w:lang w:val="fr-FR"/>
        </w:rPr>
        <w:t xml:space="preserve">de vérifier </w:t>
      </w:r>
      <w:r w:rsidRPr="001D0156">
        <w:rPr>
          <w:lang w:val="fr-FR"/>
        </w:rPr>
        <w:t xml:space="preserve">la conformité aux exigences de la présente spécification. Cette inspection doit être coordonnée et </w:t>
      </w:r>
      <w:r w:rsidR="004643AF" w:rsidRPr="001D0156">
        <w:rPr>
          <w:lang w:val="fr-FR"/>
        </w:rPr>
        <w:t xml:space="preserve">supervisée </w:t>
      </w:r>
      <w:r w:rsidRPr="001D0156">
        <w:rPr>
          <w:lang w:val="fr-FR"/>
        </w:rPr>
        <w:t>par le fabricant du revêtement et tout écart par rapport à l'application et/ou aux exigences de qualité doit être corrigé. Toutes les inspections doivent être faites par écrit et un registre permanent doit être tenu.</w:t>
      </w:r>
    </w:p>
    <w:p w14:paraId="5FB67F29" w14:textId="77777777" w:rsidR="001641A5" w:rsidRPr="001D0156" w:rsidRDefault="000D3D22" w:rsidP="000D3D22">
      <w:pPr>
        <w:pStyle w:val="Style6"/>
        <w:framePr w:w="9158" w:h="13105" w:hRule="exact" w:wrap="none" w:vAnchor="page" w:hAnchor="page" w:x="1643" w:y="2590"/>
        <w:numPr>
          <w:ilvl w:val="0"/>
          <w:numId w:val="5"/>
        </w:numPr>
        <w:shd w:val="clear" w:color="auto" w:fill="auto"/>
        <w:tabs>
          <w:tab w:val="left" w:pos="1238"/>
        </w:tabs>
        <w:spacing w:after="0" w:line="244" w:lineRule="exact"/>
        <w:ind w:left="1240"/>
      </w:pPr>
      <w:r w:rsidRPr="001D0156">
        <w:rPr>
          <w:lang w:val="fr-FR"/>
        </w:rPr>
        <w:t>Préparation des surfaces</w:t>
      </w:r>
    </w:p>
    <w:p w14:paraId="77393AC2" w14:textId="69D202DA" w:rsidR="001641A5" w:rsidRPr="001D0156" w:rsidRDefault="000D3D22" w:rsidP="000D3D22">
      <w:pPr>
        <w:pStyle w:val="Style6"/>
        <w:framePr w:w="9158" w:h="13105" w:hRule="exact" w:wrap="none" w:vAnchor="page" w:hAnchor="page" w:x="1643" w:y="2590"/>
        <w:shd w:val="clear" w:color="auto" w:fill="auto"/>
        <w:spacing w:after="0" w:line="244" w:lineRule="exact"/>
        <w:ind w:left="1240" w:firstLine="0"/>
        <w:rPr>
          <w:lang w:val="fr-CA"/>
        </w:rPr>
      </w:pPr>
      <w:r w:rsidRPr="001D0156">
        <w:rPr>
          <w:lang w:val="fr-FR"/>
        </w:rPr>
        <w:t xml:space="preserve">Avant le grenaillage abrasif, toute la surface </w:t>
      </w:r>
      <w:r w:rsidR="00664048" w:rsidRPr="001D0156">
        <w:rPr>
          <w:lang w:val="fr-FR"/>
        </w:rPr>
        <w:t>à recouvrir</w:t>
      </w:r>
      <w:r w:rsidRPr="001D0156">
        <w:rPr>
          <w:lang w:val="fr-FR"/>
        </w:rPr>
        <w:t xml:space="preserve"> doit être</w:t>
      </w:r>
    </w:p>
    <w:p w14:paraId="69900FC6" w14:textId="77777777" w:rsidR="001641A5" w:rsidRPr="001D0156" w:rsidRDefault="001641A5">
      <w:pPr>
        <w:rPr>
          <w:sz w:val="2"/>
          <w:szCs w:val="2"/>
          <w:lang w:val="fr-CA"/>
        </w:rPr>
        <w:sectPr w:rsidR="001641A5" w:rsidRPr="001D015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B9FCF7" w14:textId="484A2945" w:rsidR="001641A5" w:rsidRPr="001D0156" w:rsidRDefault="000D3D22" w:rsidP="000D3D22">
      <w:pPr>
        <w:pStyle w:val="Style6"/>
        <w:framePr w:w="9125" w:h="15133" w:hRule="exact" w:wrap="none" w:vAnchor="page" w:hAnchor="page" w:x="1659" w:y="577"/>
        <w:shd w:val="clear" w:color="auto" w:fill="auto"/>
        <w:ind w:left="1240" w:firstLine="0"/>
        <w:rPr>
          <w:lang w:val="fr-CA"/>
        </w:rPr>
      </w:pPr>
      <w:proofErr w:type="gramStart"/>
      <w:r w:rsidRPr="001D0156">
        <w:rPr>
          <w:lang w:val="fr-FR"/>
        </w:rPr>
        <w:lastRenderedPageBreak/>
        <w:t>inspecté</w:t>
      </w:r>
      <w:r w:rsidR="00664048" w:rsidRPr="001D0156">
        <w:rPr>
          <w:lang w:val="fr-FR"/>
        </w:rPr>
        <w:t>e</w:t>
      </w:r>
      <w:proofErr w:type="gramEnd"/>
      <w:r w:rsidRPr="001D0156">
        <w:rPr>
          <w:lang w:val="fr-FR"/>
        </w:rPr>
        <w:t xml:space="preserve"> pour </w:t>
      </w:r>
      <w:r w:rsidR="008D15B9" w:rsidRPr="001D0156">
        <w:rPr>
          <w:lang w:val="fr-FR"/>
        </w:rPr>
        <w:t>détecter la présence d</w:t>
      </w:r>
      <w:r w:rsidRPr="001D0156">
        <w:rPr>
          <w:lang w:val="fr-FR"/>
        </w:rPr>
        <w:t xml:space="preserve">'huile, </w:t>
      </w:r>
      <w:r w:rsidR="008D15B9" w:rsidRPr="001D0156">
        <w:rPr>
          <w:lang w:val="fr-FR"/>
        </w:rPr>
        <w:t>de</w:t>
      </w:r>
      <w:r w:rsidRPr="001D0156">
        <w:rPr>
          <w:lang w:val="fr-FR"/>
        </w:rPr>
        <w:t xml:space="preserve"> graisse, etc. Toute zone contenant de l'huile, de la graisse ou toute substance pouvant être enlevée par le solvant doit être nettoyée pour éliminer </w:t>
      </w:r>
      <w:r w:rsidR="002C6D68" w:rsidRPr="001D0156">
        <w:rPr>
          <w:lang w:val="fr-FR"/>
        </w:rPr>
        <w:t>celles-ci</w:t>
      </w:r>
      <w:r w:rsidRPr="001D0156">
        <w:rPr>
          <w:lang w:val="fr-FR"/>
        </w:rPr>
        <w:t xml:space="preserve">. </w:t>
      </w:r>
      <w:r w:rsidR="00033FB6" w:rsidRPr="001D0156">
        <w:rPr>
          <w:lang w:val="fr-FR"/>
        </w:rPr>
        <w:t>Lorsque</w:t>
      </w:r>
      <w:r w:rsidRPr="001D0156">
        <w:rPr>
          <w:lang w:val="fr-FR"/>
        </w:rPr>
        <w:t xml:space="preserve"> la surface </w:t>
      </w:r>
      <w:r w:rsidR="0078051E" w:rsidRPr="001D0156">
        <w:rPr>
          <w:lang w:val="fr-FR"/>
        </w:rPr>
        <w:t>a</w:t>
      </w:r>
      <w:r w:rsidRPr="001D0156">
        <w:rPr>
          <w:lang w:val="fr-FR"/>
        </w:rPr>
        <w:t xml:space="preserve"> été libérée de graisse, d'huile ou d'autres substances, toutes les zones </w:t>
      </w:r>
      <w:r w:rsidR="006337B4" w:rsidRPr="001D0156">
        <w:rPr>
          <w:lang w:val="fr-FR"/>
        </w:rPr>
        <w:t>à recouvrir</w:t>
      </w:r>
      <w:r w:rsidRPr="001D0156">
        <w:rPr>
          <w:lang w:val="fr-FR"/>
        </w:rPr>
        <w:t xml:space="preserve"> doivent être </w:t>
      </w:r>
      <w:r w:rsidR="00DF6CD0" w:rsidRPr="001D0156">
        <w:rPr>
          <w:lang w:val="fr-FR"/>
        </w:rPr>
        <w:t>grenaill</w:t>
      </w:r>
      <w:r w:rsidR="00CF3F68" w:rsidRPr="001D0156">
        <w:rPr>
          <w:lang w:val="fr-FR"/>
        </w:rPr>
        <w:t>ées</w:t>
      </w:r>
      <w:r w:rsidRPr="001D0156">
        <w:rPr>
          <w:lang w:val="fr-FR"/>
        </w:rPr>
        <w:t xml:space="preserve"> à l'aide de sable ou de grain</w:t>
      </w:r>
      <w:r w:rsidR="001B1E43" w:rsidRPr="001D0156">
        <w:rPr>
          <w:lang w:val="fr-FR"/>
        </w:rPr>
        <w:t xml:space="preserve"> abrasif</w:t>
      </w:r>
      <w:r w:rsidRPr="001D0156">
        <w:rPr>
          <w:lang w:val="fr-FR"/>
        </w:rPr>
        <w:t xml:space="preserve">. Toute la surface à recouvrir doit être heurtée avec le </w:t>
      </w:r>
      <w:r w:rsidR="005E1B78" w:rsidRPr="001D0156">
        <w:rPr>
          <w:lang w:val="fr-FR"/>
        </w:rPr>
        <w:t>matériel abrasif</w:t>
      </w:r>
      <w:r w:rsidR="00D42C2B" w:rsidRPr="001D0156">
        <w:rPr>
          <w:lang w:val="fr-FR"/>
        </w:rPr>
        <w:t xml:space="preserve"> </w:t>
      </w:r>
      <w:r w:rsidR="00410292" w:rsidRPr="001D0156">
        <w:rPr>
          <w:lang w:val="fr-FR"/>
        </w:rPr>
        <w:t>afin</w:t>
      </w:r>
      <w:r w:rsidRPr="001D0156">
        <w:rPr>
          <w:lang w:val="fr-FR"/>
        </w:rPr>
        <w:t xml:space="preserve"> que toute la rouille, les oxydes lâches, etc., soient retirés de la surface. Seules de légères taches et de l'oxyde adhérent </w:t>
      </w:r>
      <w:r w:rsidR="00354D8F" w:rsidRPr="001D0156">
        <w:rPr>
          <w:lang w:val="fr-FR"/>
        </w:rPr>
        <w:t>fermement</w:t>
      </w:r>
      <w:r w:rsidRPr="001D0156">
        <w:rPr>
          <w:lang w:val="fr-FR"/>
        </w:rPr>
        <w:t xml:space="preserve"> peuvent être laissés sur la surface. Toute zone où la rouille réapparaît</w:t>
      </w:r>
      <w:r w:rsidR="005A6A19" w:rsidRPr="001D0156">
        <w:rPr>
          <w:lang w:val="fr-FR"/>
        </w:rPr>
        <w:t xml:space="preserve"> doit être </w:t>
      </w:r>
      <w:r w:rsidR="00654714" w:rsidRPr="001D0156">
        <w:rPr>
          <w:lang w:val="fr-FR"/>
        </w:rPr>
        <w:t>grenaillée</w:t>
      </w:r>
      <w:r w:rsidR="002B6AD7" w:rsidRPr="001D0156">
        <w:rPr>
          <w:lang w:val="fr-FR"/>
        </w:rPr>
        <w:t xml:space="preserve"> à nouveau</w:t>
      </w:r>
      <w:r w:rsidRPr="001D0156">
        <w:rPr>
          <w:lang w:val="fr-FR"/>
        </w:rPr>
        <w:t xml:space="preserve"> avant</w:t>
      </w:r>
      <w:r w:rsidR="002B6AD7" w:rsidRPr="001D0156">
        <w:rPr>
          <w:lang w:val="fr-FR"/>
        </w:rPr>
        <w:t xml:space="preserve"> l’application du revêtement</w:t>
      </w:r>
      <w:r w:rsidRPr="001D0156">
        <w:rPr>
          <w:lang w:val="fr-FR"/>
        </w:rPr>
        <w:t>.</w:t>
      </w:r>
    </w:p>
    <w:p w14:paraId="382A67FF" w14:textId="7A5B7D75" w:rsidR="001641A5" w:rsidRPr="001D0156" w:rsidRDefault="001528FE" w:rsidP="000D3D22">
      <w:pPr>
        <w:pStyle w:val="Style6"/>
        <w:framePr w:w="9125" w:h="15133" w:hRule="exact" w:wrap="none" w:vAnchor="page" w:hAnchor="page" w:x="1659" w:y="577"/>
        <w:numPr>
          <w:ilvl w:val="0"/>
          <w:numId w:val="5"/>
        </w:numPr>
        <w:shd w:val="clear" w:color="auto" w:fill="auto"/>
        <w:tabs>
          <w:tab w:val="left" w:pos="1237"/>
        </w:tabs>
        <w:spacing w:after="0"/>
        <w:ind w:left="700" w:firstLine="0"/>
      </w:pPr>
      <w:r w:rsidRPr="001D0156">
        <w:rPr>
          <w:lang w:val="fr-FR"/>
        </w:rPr>
        <w:t>Revêtement</w:t>
      </w:r>
    </w:p>
    <w:p w14:paraId="4DE47A6D" w14:textId="76D28614" w:rsidR="001641A5" w:rsidRPr="001D0156" w:rsidRDefault="00EA68D1" w:rsidP="000D3D22">
      <w:pPr>
        <w:pStyle w:val="Style6"/>
        <w:framePr w:w="9125" w:h="15133" w:hRule="exact" w:wrap="none" w:vAnchor="page" w:hAnchor="page" w:x="1659" w:y="577"/>
        <w:shd w:val="clear" w:color="auto" w:fill="auto"/>
        <w:ind w:left="1220" w:firstLine="0"/>
        <w:rPr>
          <w:lang w:val="fr-CA"/>
        </w:rPr>
      </w:pPr>
      <w:r w:rsidRPr="001D0156">
        <w:rPr>
          <w:lang w:val="fr-FR"/>
        </w:rPr>
        <w:t xml:space="preserve">Dans </w:t>
      </w:r>
      <w:r w:rsidR="000D3D22" w:rsidRPr="001D0156">
        <w:rPr>
          <w:lang w:val="fr-FR"/>
        </w:rPr>
        <w:t xml:space="preserve">les </w:t>
      </w:r>
      <w:r w:rsidR="00E83A84" w:rsidRPr="001D0156">
        <w:rPr>
          <w:lang w:val="fr-FR"/>
        </w:rPr>
        <w:t>12</w:t>
      </w:r>
      <w:r w:rsidR="000D3D22" w:rsidRPr="001D0156">
        <w:rPr>
          <w:lang w:val="fr-FR"/>
        </w:rPr>
        <w:t xml:space="preserve"> heures suivant la préparation de la surface, l'intérieur du tuyau doit recevoir une </w:t>
      </w:r>
      <w:r w:rsidR="00AA65D6" w:rsidRPr="001D0156">
        <w:rPr>
          <w:lang w:val="fr-FR"/>
        </w:rPr>
        <w:t>couche</w:t>
      </w:r>
      <w:r w:rsidR="006C3F60" w:rsidRPr="001D0156">
        <w:rPr>
          <w:lang w:val="fr-FR"/>
        </w:rPr>
        <w:t xml:space="preserve"> de</w:t>
      </w:r>
      <w:r w:rsidR="000D3D22" w:rsidRPr="001D0156">
        <w:rPr>
          <w:lang w:val="fr-FR"/>
        </w:rPr>
        <w:t xml:space="preserve"> </w:t>
      </w:r>
      <w:r w:rsidR="006C3F60" w:rsidRPr="001D0156">
        <w:rPr>
          <w:lang w:val="fr-FR"/>
        </w:rPr>
        <w:t>Protecto 401</w:t>
      </w:r>
      <w:r w:rsidR="0051792C" w:rsidRPr="001D0156">
        <w:rPr>
          <w:vertAlign w:val="superscript"/>
          <w:lang w:val="fr-FR"/>
        </w:rPr>
        <w:t>TM</w:t>
      </w:r>
      <w:r w:rsidR="006C3F60" w:rsidRPr="001D0156">
        <w:rPr>
          <w:lang w:val="fr-FR"/>
        </w:rPr>
        <w:t xml:space="preserve"> </w:t>
      </w:r>
      <w:r w:rsidR="00ED38A0" w:rsidRPr="001D0156">
        <w:rPr>
          <w:lang w:val="fr-FR"/>
        </w:rPr>
        <w:t xml:space="preserve">d’une épaisseur </w:t>
      </w:r>
      <w:r w:rsidR="000D3D22" w:rsidRPr="001D0156">
        <w:rPr>
          <w:lang w:val="fr-FR"/>
        </w:rPr>
        <w:t xml:space="preserve">nominale sec de </w:t>
      </w:r>
      <w:r w:rsidR="00E83A84" w:rsidRPr="001D0156">
        <w:rPr>
          <w:lang w:val="fr-FR"/>
        </w:rPr>
        <w:t xml:space="preserve">1 </w:t>
      </w:r>
      <w:proofErr w:type="spellStart"/>
      <w:r w:rsidR="00E83A84" w:rsidRPr="001D0156">
        <w:rPr>
          <w:lang w:val="fr-FR"/>
        </w:rPr>
        <w:t>mm</w:t>
      </w:r>
      <w:r w:rsidR="000D3D22" w:rsidRPr="001D0156">
        <w:rPr>
          <w:lang w:val="fr-FR"/>
        </w:rPr>
        <w:t>.</w:t>
      </w:r>
      <w:proofErr w:type="spellEnd"/>
      <w:r w:rsidR="000D3D22" w:rsidRPr="001D0156">
        <w:rPr>
          <w:lang w:val="fr-FR"/>
        </w:rPr>
        <w:t xml:space="preserve"> Aucun revêtement ne doit </w:t>
      </w:r>
      <w:r w:rsidR="00FF58C6" w:rsidRPr="001D0156">
        <w:rPr>
          <w:lang w:val="fr-FR"/>
        </w:rPr>
        <w:t>être appliqué</w:t>
      </w:r>
      <w:r w:rsidR="000D3D22" w:rsidRPr="001D0156">
        <w:rPr>
          <w:lang w:val="fr-FR"/>
        </w:rPr>
        <w:t xml:space="preserve"> lorsque le substrat ou la température ambiante est inférieure à 40 °F. La surface doit également être sèche et exempte de poussière. Si des tuyaux ou des raccords à bride sont </w:t>
      </w:r>
      <w:r w:rsidR="00A14F8B" w:rsidRPr="001D0156">
        <w:rPr>
          <w:lang w:val="fr-FR"/>
        </w:rPr>
        <w:t>prévus</w:t>
      </w:r>
      <w:r w:rsidR="000D3D22" w:rsidRPr="001D0156">
        <w:rPr>
          <w:lang w:val="fr-FR"/>
        </w:rPr>
        <w:t xml:space="preserve"> dans le projet, le revêtement ne doit pas être </w:t>
      </w:r>
      <w:r w:rsidR="00A14F8B" w:rsidRPr="001D0156">
        <w:rPr>
          <w:lang w:val="fr-FR"/>
        </w:rPr>
        <w:t>appliqué</w:t>
      </w:r>
      <w:r w:rsidR="000D3D22" w:rsidRPr="001D0156">
        <w:rPr>
          <w:lang w:val="fr-FR"/>
        </w:rPr>
        <w:t xml:space="preserve"> sur la face de la bride.</w:t>
      </w:r>
    </w:p>
    <w:p w14:paraId="51398ACD" w14:textId="1A4FBBEF" w:rsidR="001641A5" w:rsidRPr="001D0156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5"/>
        </w:numPr>
        <w:shd w:val="clear" w:color="auto" w:fill="auto"/>
        <w:tabs>
          <w:tab w:val="left" w:pos="1237"/>
        </w:tabs>
        <w:spacing w:after="0"/>
        <w:ind w:left="700" w:firstLine="0"/>
        <w:rPr>
          <w:lang w:val="fr-CA"/>
        </w:rPr>
      </w:pPr>
      <w:r w:rsidRPr="001D0156">
        <w:rPr>
          <w:lang w:val="fr-FR"/>
        </w:rPr>
        <w:t xml:space="preserve">Revêtement des </w:t>
      </w:r>
      <w:r w:rsidR="0006334F" w:rsidRPr="001D0156">
        <w:rPr>
          <w:lang w:val="fr-FR"/>
        </w:rPr>
        <w:t>cloches</w:t>
      </w:r>
      <w:r w:rsidRPr="001D0156">
        <w:rPr>
          <w:lang w:val="fr-FR"/>
        </w:rPr>
        <w:t xml:space="preserve"> et des </w:t>
      </w:r>
      <w:r w:rsidR="00E83A84" w:rsidRPr="001D0156">
        <w:rPr>
          <w:lang w:val="fr-FR"/>
        </w:rPr>
        <w:t>bouts unis</w:t>
      </w:r>
    </w:p>
    <w:p w14:paraId="278EC732" w14:textId="5C89708E" w:rsidR="001641A5" w:rsidRPr="001D0156" w:rsidRDefault="000D3D22" w:rsidP="000D3D22">
      <w:pPr>
        <w:pStyle w:val="Style6"/>
        <w:framePr w:w="9125" w:h="15133" w:hRule="exact" w:wrap="none" w:vAnchor="page" w:hAnchor="page" w:x="1659" w:y="577"/>
        <w:shd w:val="clear" w:color="auto" w:fill="auto"/>
        <w:ind w:left="1220" w:firstLine="0"/>
        <w:rPr>
          <w:lang w:val="fr-CA"/>
        </w:rPr>
      </w:pPr>
      <w:r w:rsidRPr="001D0156">
        <w:rPr>
          <w:lang w:val="fr-FR"/>
        </w:rPr>
        <w:t xml:space="preserve">En raison des tolérances impliquées, </w:t>
      </w:r>
      <w:r w:rsidR="002D52EB" w:rsidRPr="001D0156">
        <w:rPr>
          <w:lang w:val="fr-FR"/>
        </w:rPr>
        <w:t>le siège</w:t>
      </w:r>
      <w:r w:rsidRPr="001D0156">
        <w:rPr>
          <w:lang w:val="fr-FR"/>
        </w:rPr>
        <w:t xml:space="preserve"> du joint </w:t>
      </w:r>
      <w:r w:rsidR="009A79D0" w:rsidRPr="001D0156">
        <w:rPr>
          <w:lang w:val="fr-FR"/>
        </w:rPr>
        <w:t xml:space="preserve">d’étanchéité </w:t>
      </w:r>
      <w:r w:rsidRPr="001D0156">
        <w:rPr>
          <w:lang w:val="fr-FR"/>
        </w:rPr>
        <w:t xml:space="preserve">et </w:t>
      </w:r>
      <w:r w:rsidR="003C1287" w:rsidRPr="001D0156">
        <w:rPr>
          <w:lang w:val="fr-FR"/>
        </w:rPr>
        <w:t xml:space="preserve">le bout </w:t>
      </w:r>
      <w:r w:rsidR="0006334F" w:rsidRPr="001D0156">
        <w:rPr>
          <w:lang w:val="fr-FR"/>
        </w:rPr>
        <w:t>uni</w:t>
      </w:r>
      <w:r w:rsidR="008557D7" w:rsidRPr="001D0156">
        <w:rPr>
          <w:lang w:val="fr-FR"/>
        </w:rPr>
        <w:t>,</w:t>
      </w:r>
      <w:r w:rsidRPr="001D0156">
        <w:rPr>
          <w:lang w:val="fr-FR"/>
        </w:rPr>
        <w:t xml:space="preserve"> jusqu'à </w:t>
      </w:r>
      <w:r w:rsidR="00E83A84" w:rsidRPr="001D0156">
        <w:rPr>
          <w:lang w:val="fr-FR"/>
        </w:rPr>
        <w:t>150 mm</w:t>
      </w:r>
      <w:r w:rsidRPr="001D0156">
        <w:rPr>
          <w:lang w:val="fr-FR"/>
        </w:rPr>
        <w:t xml:space="preserve"> en arrière </w:t>
      </w:r>
      <w:r w:rsidR="005417A1" w:rsidRPr="001D0156">
        <w:rPr>
          <w:lang w:val="fr-FR"/>
        </w:rPr>
        <w:t>de celui-ci</w:t>
      </w:r>
      <w:r w:rsidR="008557D7" w:rsidRPr="001D0156">
        <w:rPr>
          <w:lang w:val="fr-FR"/>
        </w:rPr>
        <w:t>,</w:t>
      </w:r>
      <w:r w:rsidRPr="001D0156">
        <w:rPr>
          <w:lang w:val="fr-FR"/>
        </w:rPr>
        <w:t xml:space="preserve"> doivent être r</w:t>
      </w:r>
      <w:r w:rsidR="00920476" w:rsidRPr="001D0156">
        <w:rPr>
          <w:lang w:val="fr-FR"/>
        </w:rPr>
        <w:t>ecouvert</w:t>
      </w:r>
      <w:r w:rsidR="00C6669F" w:rsidRPr="001D0156">
        <w:rPr>
          <w:lang w:val="fr-FR"/>
        </w:rPr>
        <w:t xml:space="preserve">s d’une épaisseur nominale </w:t>
      </w:r>
      <w:r w:rsidR="00E83A84" w:rsidRPr="001D0156">
        <w:rPr>
          <w:lang w:val="fr-FR"/>
        </w:rPr>
        <w:t>de 0.15 mm</w:t>
      </w:r>
      <w:r w:rsidRPr="001D0156">
        <w:rPr>
          <w:lang w:val="fr-FR"/>
        </w:rPr>
        <w:t xml:space="preserve">, </w:t>
      </w:r>
      <w:r w:rsidR="00E83A84" w:rsidRPr="001D0156">
        <w:rPr>
          <w:lang w:val="fr-FR"/>
        </w:rPr>
        <w:t>0.254 mm</w:t>
      </w:r>
      <w:r w:rsidRPr="001D0156">
        <w:rPr>
          <w:lang w:val="fr-FR"/>
        </w:rPr>
        <w:t xml:space="preserve"> maximum à l'aide de Protecto </w:t>
      </w:r>
      <w:r w:rsidR="00533C00" w:rsidRPr="001D0156">
        <w:rPr>
          <w:lang w:val="fr-FR"/>
        </w:rPr>
        <w:t>401</w:t>
      </w:r>
      <w:r w:rsidR="00533C00" w:rsidRPr="001D0156">
        <w:rPr>
          <w:vertAlign w:val="superscript"/>
          <w:lang w:val="fr-FR"/>
        </w:rPr>
        <w:t xml:space="preserve">TM </w:t>
      </w:r>
      <w:r w:rsidRPr="001D0156">
        <w:rPr>
          <w:lang w:val="fr-FR"/>
        </w:rPr>
        <w:t xml:space="preserve">Joint </w:t>
      </w:r>
      <w:bookmarkStart w:id="2" w:name="_Hlk31105299"/>
      <w:r w:rsidR="00E83A84" w:rsidRPr="001D0156">
        <w:rPr>
          <w:lang w:val="fr-FR"/>
        </w:rPr>
        <w:t>Compound</w:t>
      </w:r>
      <w:bookmarkEnd w:id="2"/>
      <w:r w:rsidRPr="001D0156">
        <w:rPr>
          <w:lang w:val="fr-FR"/>
        </w:rPr>
        <w:t xml:space="preserve">. Le </w:t>
      </w:r>
      <w:bookmarkStart w:id="3" w:name="_Hlk31105496"/>
      <w:r w:rsidR="00651822" w:rsidRPr="001D0156">
        <w:rPr>
          <w:lang w:val="fr-FR"/>
        </w:rPr>
        <w:t>Protecto 401</w:t>
      </w:r>
      <w:r w:rsidR="00651822" w:rsidRPr="001D0156">
        <w:rPr>
          <w:vertAlign w:val="superscript"/>
          <w:lang w:val="fr-FR"/>
        </w:rPr>
        <w:t xml:space="preserve">TM </w:t>
      </w:r>
      <w:bookmarkEnd w:id="3"/>
      <w:r w:rsidR="00651822" w:rsidRPr="001D0156">
        <w:rPr>
          <w:lang w:val="fr-FR"/>
        </w:rPr>
        <w:t xml:space="preserve">Joint </w:t>
      </w:r>
      <w:r w:rsidR="00E83A84" w:rsidRPr="001D0156">
        <w:rPr>
          <w:lang w:val="fr-FR"/>
        </w:rPr>
        <w:t>Compound</w:t>
      </w:r>
      <w:r w:rsidR="00651822" w:rsidRPr="001D0156">
        <w:rPr>
          <w:lang w:val="fr-FR"/>
        </w:rPr>
        <w:t xml:space="preserve"> </w:t>
      </w:r>
      <w:r w:rsidRPr="001D0156">
        <w:rPr>
          <w:lang w:val="fr-FR"/>
        </w:rPr>
        <w:t xml:space="preserve">doit être appliqué au pinceau pour </w:t>
      </w:r>
      <w:r w:rsidR="006D573E" w:rsidRPr="001D0156">
        <w:rPr>
          <w:lang w:val="fr-FR"/>
        </w:rPr>
        <w:t>garantir</w:t>
      </w:r>
      <w:r w:rsidRPr="001D0156">
        <w:rPr>
          <w:lang w:val="fr-FR"/>
        </w:rPr>
        <w:t xml:space="preserve"> la couverture. Il faut veiller à ce que le</w:t>
      </w:r>
      <w:r w:rsidR="0006334F" w:rsidRPr="001D0156">
        <w:rPr>
          <w:lang w:val="fr-FR"/>
        </w:rPr>
        <w:t xml:space="preserve"> Protecto 401</w:t>
      </w:r>
      <w:proofErr w:type="gramStart"/>
      <w:r w:rsidR="0006334F" w:rsidRPr="001D0156">
        <w:rPr>
          <w:vertAlign w:val="superscript"/>
          <w:lang w:val="fr-FR"/>
        </w:rPr>
        <w:t xml:space="preserve">TM </w:t>
      </w:r>
      <w:r w:rsidRPr="001D0156">
        <w:rPr>
          <w:lang w:val="fr-FR"/>
        </w:rPr>
        <w:t xml:space="preserve"> </w:t>
      </w:r>
      <w:r w:rsidR="00800F71" w:rsidRPr="001D0156">
        <w:rPr>
          <w:lang w:val="fr-FR"/>
        </w:rPr>
        <w:t>Joint</w:t>
      </w:r>
      <w:proofErr w:type="gramEnd"/>
      <w:r w:rsidR="00800F71" w:rsidRPr="001D0156">
        <w:rPr>
          <w:lang w:val="fr-FR"/>
        </w:rPr>
        <w:t xml:space="preserve"> </w:t>
      </w:r>
      <w:r w:rsidR="00E83A84" w:rsidRPr="001D0156">
        <w:rPr>
          <w:lang w:val="fr-FR"/>
        </w:rPr>
        <w:t>Compound</w:t>
      </w:r>
      <w:r w:rsidRPr="001D0156">
        <w:rPr>
          <w:lang w:val="fr-FR"/>
        </w:rPr>
        <w:t xml:space="preserve"> soit lisse</w:t>
      </w:r>
      <w:r w:rsidR="00247888" w:rsidRPr="001D0156">
        <w:rPr>
          <w:lang w:val="fr-FR"/>
        </w:rPr>
        <w:t>,</w:t>
      </w:r>
      <w:r w:rsidRPr="001D0156">
        <w:rPr>
          <w:lang w:val="fr-FR"/>
        </w:rPr>
        <w:t xml:space="preserve"> sans accumulation excessive dans le siège du joint d'étanchéité ou sur </w:t>
      </w:r>
      <w:r w:rsidR="00E83A84" w:rsidRPr="001D0156">
        <w:rPr>
          <w:lang w:val="fr-FR"/>
        </w:rPr>
        <w:t>le bout uni</w:t>
      </w:r>
      <w:r w:rsidR="00696CD2" w:rsidRPr="001D0156">
        <w:rPr>
          <w:lang w:val="fr-FR"/>
        </w:rPr>
        <w:t xml:space="preserve">. </w:t>
      </w:r>
      <w:r w:rsidRPr="001D0156">
        <w:rPr>
          <w:lang w:val="fr-FR"/>
        </w:rPr>
        <w:t xml:space="preserve">Le revêtement du siège du joint d'étanchéité et </w:t>
      </w:r>
      <w:r w:rsidR="00E83A84" w:rsidRPr="001D0156">
        <w:rPr>
          <w:lang w:val="fr-FR"/>
        </w:rPr>
        <w:t>du bout uni</w:t>
      </w:r>
      <w:r w:rsidR="00696CD2" w:rsidRPr="001D0156">
        <w:rPr>
          <w:lang w:val="fr-FR"/>
        </w:rPr>
        <w:t xml:space="preserve"> </w:t>
      </w:r>
      <w:r w:rsidRPr="001D0156">
        <w:rPr>
          <w:lang w:val="fr-FR"/>
        </w:rPr>
        <w:t>doit être effectué après l'application du revêtement</w:t>
      </w:r>
      <w:r w:rsidR="00BC2BD5" w:rsidRPr="001D0156">
        <w:rPr>
          <w:lang w:val="fr-FR"/>
        </w:rPr>
        <w:t xml:space="preserve"> intérieur</w:t>
      </w:r>
      <w:r w:rsidRPr="001D0156">
        <w:rPr>
          <w:lang w:val="fr-FR"/>
        </w:rPr>
        <w:t>.</w:t>
      </w:r>
    </w:p>
    <w:p w14:paraId="2B7C9225" w14:textId="77777777" w:rsidR="001641A5" w:rsidRPr="001D0156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5"/>
        </w:numPr>
        <w:shd w:val="clear" w:color="auto" w:fill="auto"/>
        <w:tabs>
          <w:tab w:val="left" w:pos="1237"/>
        </w:tabs>
        <w:spacing w:after="0"/>
        <w:ind w:left="700" w:firstLine="0"/>
      </w:pPr>
      <w:r w:rsidRPr="001D0156">
        <w:rPr>
          <w:lang w:val="fr-FR"/>
        </w:rPr>
        <w:t>Nombre de couches</w:t>
      </w:r>
    </w:p>
    <w:p w14:paraId="64FF6C22" w14:textId="0475BE9E" w:rsidR="001641A5" w:rsidRPr="001D0156" w:rsidRDefault="000D3D22" w:rsidP="000D3D22">
      <w:pPr>
        <w:pStyle w:val="Style6"/>
        <w:framePr w:w="9125" w:h="15133" w:hRule="exact" w:wrap="none" w:vAnchor="page" w:hAnchor="page" w:x="1659" w:y="577"/>
        <w:shd w:val="clear" w:color="auto" w:fill="auto"/>
        <w:ind w:left="1220" w:firstLine="0"/>
        <w:rPr>
          <w:lang w:val="fr-CA"/>
        </w:rPr>
      </w:pPr>
      <w:r w:rsidRPr="001D0156">
        <w:rPr>
          <w:lang w:val="fr-FR"/>
        </w:rPr>
        <w:t xml:space="preserve">Le nombre de couches de revêtement </w:t>
      </w:r>
      <w:r w:rsidR="008E2D2F" w:rsidRPr="001D0156">
        <w:rPr>
          <w:lang w:val="fr-FR"/>
        </w:rPr>
        <w:t>à appliquer</w:t>
      </w:r>
      <w:r w:rsidRPr="001D0156">
        <w:rPr>
          <w:lang w:val="fr-FR"/>
        </w:rPr>
        <w:t xml:space="preserve"> doit être tel que recommandé par le fabricant d</w:t>
      </w:r>
      <w:r w:rsidR="005460CA" w:rsidRPr="001D0156">
        <w:rPr>
          <w:lang w:val="fr-FR"/>
        </w:rPr>
        <w:t>u</w:t>
      </w:r>
      <w:r w:rsidRPr="001D0156">
        <w:rPr>
          <w:lang w:val="fr-FR"/>
        </w:rPr>
        <w:t xml:space="preserve"> revêtement. Toutefois, ce matériau ne doit en aucun cas être appliqué au-dessus de l'épaisseur sèche par couche recommandée par le fabricant dans la littérature. L</w:t>
      </w:r>
      <w:r w:rsidR="00691E08" w:rsidRPr="001D0156">
        <w:rPr>
          <w:lang w:val="fr-FR"/>
        </w:rPr>
        <w:t>e</w:t>
      </w:r>
      <w:r w:rsidRPr="001D0156">
        <w:rPr>
          <w:lang w:val="fr-FR"/>
        </w:rPr>
        <w:t xml:space="preserve"> </w:t>
      </w:r>
      <w:r w:rsidR="00691E08" w:rsidRPr="001D0156">
        <w:rPr>
          <w:lang w:val="fr-FR"/>
        </w:rPr>
        <w:t xml:space="preserve">temps </w:t>
      </w:r>
      <w:r w:rsidRPr="001D0156">
        <w:rPr>
          <w:lang w:val="fr-FR"/>
        </w:rPr>
        <w:t xml:space="preserve">maximal ou minimal entre </w:t>
      </w:r>
      <w:r w:rsidR="00087B79" w:rsidRPr="001D0156">
        <w:rPr>
          <w:lang w:val="fr-FR"/>
        </w:rPr>
        <w:t>l’application d</w:t>
      </w:r>
      <w:r w:rsidRPr="001D0156">
        <w:rPr>
          <w:lang w:val="fr-FR"/>
        </w:rPr>
        <w:t>es couches est cel</w:t>
      </w:r>
      <w:r w:rsidR="00087B79" w:rsidRPr="001D0156">
        <w:rPr>
          <w:lang w:val="fr-FR"/>
        </w:rPr>
        <w:t>ui</w:t>
      </w:r>
      <w:r w:rsidRPr="001D0156">
        <w:rPr>
          <w:lang w:val="fr-FR"/>
        </w:rPr>
        <w:t xml:space="preserve"> recommandé par le fabricant du revêtement. </w:t>
      </w:r>
      <w:r w:rsidRPr="001D0156">
        <w:rPr>
          <w:rStyle w:val="CharStyle8"/>
          <w:lang w:val="fr-FR"/>
        </w:rPr>
        <w:t xml:space="preserve">Pour éviter le délaminage entre les couches, aucun matériau ne doit être utilisé pour le revêtement qui n'est pas recouvrable indéfiniment avec lui-même sans </w:t>
      </w:r>
      <w:r w:rsidR="002165BF" w:rsidRPr="001D0156">
        <w:rPr>
          <w:rStyle w:val="CharStyle8"/>
          <w:lang w:val="fr-FR"/>
        </w:rPr>
        <w:t>rendre</w:t>
      </w:r>
      <w:r w:rsidRPr="001D0156">
        <w:rPr>
          <w:rStyle w:val="CharStyle8"/>
          <w:lang w:val="fr-FR"/>
        </w:rPr>
        <w:t xml:space="preserve"> la surface</w:t>
      </w:r>
      <w:r w:rsidR="002165BF" w:rsidRPr="001D0156">
        <w:rPr>
          <w:rStyle w:val="CharStyle8"/>
          <w:lang w:val="fr-FR"/>
        </w:rPr>
        <w:t xml:space="preserve"> rugueuse</w:t>
      </w:r>
      <w:r w:rsidRPr="001D0156">
        <w:rPr>
          <w:rStyle w:val="CharStyle8"/>
          <w:lang w:val="fr-FR"/>
        </w:rPr>
        <w:t>.</w:t>
      </w:r>
    </w:p>
    <w:p w14:paraId="35E43443" w14:textId="77777777" w:rsidR="001641A5" w:rsidRPr="001D0156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5"/>
        </w:numPr>
        <w:shd w:val="clear" w:color="auto" w:fill="auto"/>
        <w:tabs>
          <w:tab w:val="left" w:pos="1237"/>
        </w:tabs>
        <w:spacing w:after="0"/>
        <w:ind w:left="700" w:firstLine="0"/>
      </w:pPr>
      <w:r w:rsidRPr="001D0156">
        <w:rPr>
          <w:lang w:val="fr-FR"/>
        </w:rPr>
        <w:t>Retouche et réparation</w:t>
      </w:r>
    </w:p>
    <w:p w14:paraId="0EB5B500" w14:textId="42D64A80" w:rsidR="001641A5" w:rsidRPr="00715EB9" w:rsidRDefault="000D3D22" w:rsidP="000D3D22">
      <w:pPr>
        <w:pStyle w:val="Style6"/>
        <w:framePr w:w="9125" w:h="15133" w:hRule="exact" w:wrap="none" w:vAnchor="page" w:hAnchor="page" w:x="1659" w:y="577"/>
        <w:shd w:val="clear" w:color="auto" w:fill="auto"/>
        <w:spacing w:after="105"/>
        <w:ind w:left="1220" w:firstLine="0"/>
        <w:rPr>
          <w:lang w:val="fr-CA"/>
        </w:rPr>
      </w:pPr>
      <w:r w:rsidRPr="001D0156">
        <w:rPr>
          <w:lang w:val="fr-FR"/>
        </w:rPr>
        <w:t>Le Protecto</w:t>
      </w:r>
      <w:r w:rsidR="00924774" w:rsidRPr="001D0156">
        <w:rPr>
          <w:lang w:val="fr-FR"/>
        </w:rPr>
        <w:t xml:space="preserve"> 401</w:t>
      </w:r>
      <w:r w:rsidR="00924774" w:rsidRPr="001D0156">
        <w:rPr>
          <w:vertAlign w:val="superscript"/>
          <w:lang w:val="fr-FR"/>
        </w:rPr>
        <w:t>TM</w:t>
      </w:r>
      <w:r w:rsidRPr="001D0156">
        <w:rPr>
          <w:lang w:val="fr-FR"/>
        </w:rPr>
        <w:t xml:space="preserve"> Joint Com</w:t>
      </w:r>
      <w:r w:rsidR="00E83A84" w:rsidRPr="001D0156">
        <w:rPr>
          <w:lang w:val="fr-FR"/>
        </w:rPr>
        <w:t>pound</w:t>
      </w:r>
      <w:r w:rsidRPr="001D0156">
        <w:rPr>
          <w:lang w:val="fr-FR"/>
        </w:rPr>
        <w:t xml:space="preserve"> doit être utilisé pour la retouche ou la réparation conformément aux recommandations du fabricant.</w:t>
      </w:r>
    </w:p>
    <w:p w14:paraId="6BED7F7D" w14:textId="77777777" w:rsidR="001641A5" w:rsidRDefault="000D3D22" w:rsidP="000D3D22">
      <w:pPr>
        <w:pStyle w:val="Style4"/>
        <w:framePr w:w="9125" w:h="15133" w:hRule="exact" w:wrap="none" w:vAnchor="page" w:hAnchor="page" w:x="1659" w:y="577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100" w:line="244" w:lineRule="exact"/>
      </w:pPr>
      <w:r>
        <w:rPr>
          <w:lang w:val="fr-FR"/>
        </w:rPr>
        <w:t>Inspection et certification</w:t>
      </w:r>
    </w:p>
    <w:p w14:paraId="1140CAFC" w14:textId="77777777" w:rsidR="001641A5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6"/>
        </w:numPr>
        <w:shd w:val="clear" w:color="auto" w:fill="auto"/>
        <w:tabs>
          <w:tab w:val="left" w:pos="1237"/>
        </w:tabs>
        <w:spacing w:after="96" w:line="244" w:lineRule="exact"/>
        <w:ind w:left="700" w:firstLine="0"/>
      </w:pPr>
      <w:r>
        <w:rPr>
          <w:lang w:val="fr-FR"/>
        </w:rPr>
        <w:t>Inspection</w:t>
      </w:r>
    </w:p>
    <w:p w14:paraId="7DB7E0A9" w14:textId="49CBBDEC" w:rsidR="001641A5" w:rsidRPr="00715EB9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7"/>
        </w:numPr>
        <w:shd w:val="clear" w:color="auto" w:fill="auto"/>
        <w:tabs>
          <w:tab w:val="left" w:pos="1569"/>
        </w:tabs>
        <w:spacing w:after="0"/>
        <w:ind w:left="1580" w:hanging="360"/>
        <w:rPr>
          <w:lang w:val="fr-CA"/>
        </w:rPr>
      </w:pPr>
      <w:r w:rsidRPr="00803E83">
        <w:rPr>
          <w:lang w:val="fr-FR"/>
        </w:rPr>
        <w:t xml:space="preserve">L'épaisseur </w:t>
      </w:r>
      <w:r w:rsidR="00707C95" w:rsidRPr="00803E83">
        <w:rPr>
          <w:lang w:val="fr-FR"/>
        </w:rPr>
        <w:t xml:space="preserve">du revêtement </w:t>
      </w:r>
      <w:r w:rsidRPr="00803E83">
        <w:rPr>
          <w:lang w:val="fr-FR"/>
        </w:rPr>
        <w:t xml:space="preserve">de tous les tuyaux et raccord </w:t>
      </w:r>
      <w:r w:rsidR="00707C95" w:rsidRPr="00803E83">
        <w:rPr>
          <w:lang w:val="fr-FR"/>
        </w:rPr>
        <w:t xml:space="preserve">en fonte ductile </w:t>
      </w:r>
      <w:r w:rsidRPr="00803E83">
        <w:rPr>
          <w:lang w:val="fr-FR"/>
        </w:rPr>
        <w:t>doit être vérifiée à l'aide d'une jauge d'épaisseur magnétique.</w:t>
      </w:r>
      <w:r>
        <w:rPr>
          <w:lang w:val="fr-FR"/>
        </w:rPr>
        <w:t xml:space="preserve"> Les essais d'épaisseur doivent être effectués selon la méthode décrite dans le document SPAC PA-2 </w:t>
      </w:r>
      <w:r w:rsidR="00801EB6" w:rsidRPr="00801EB6">
        <w:rPr>
          <w:lang w:val="fr-FR"/>
        </w:rPr>
        <w:t>É</w:t>
      </w:r>
      <w:r w:rsidRPr="00801EB6">
        <w:rPr>
          <w:lang w:val="fr-FR"/>
        </w:rPr>
        <w:t>paisseur du film.</w:t>
      </w:r>
    </w:p>
    <w:p w14:paraId="1232BFAA" w14:textId="174054E8" w:rsidR="001641A5" w:rsidRPr="00910AF8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7"/>
        </w:numPr>
        <w:shd w:val="clear" w:color="auto" w:fill="auto"/>
        <w:tabs>
          <w:tab w:val="left" w:pos="1569"/>
        </w:tabs>
        <w:spacing w:after="0"/>
        <w:ind w:left="1580" w:hanging="360"/>
        <w:rPr>
          <w:lang w:val="fr-CA"/>
        </w:rPr>
      </w:pPr>
      <w:r>
        <w:rPr>
          <w:lang w:val="fr-FR"/>
        </w:rPr>
        <w:t xml:space="preserve">Le revêtement intérieur de tous </w:t>
      </w:r>
      <w:r w:rsidRPr="00910AF8">
        <w:rPr>
          <w:lang w:val="fr-FR"/>
        </w:rPr>
        <w:t xml:space="preserve">les </w:t>
      </w:r>
      <w:r w:rsidR="00910AF8" w:rsidRPr="00910AF8">
        <w:rPr>
          <w:lang w:val="fr-FR"/>
        </w:rPr>
        <w:t>tuyaux</w:t>
      </w:r>
      <w:r w:rsidRPr="00910AF8">
        <w:rPr>
          <w:lang w:val="fr-FR"/>
        </w:rPr>
        <w:t xml:space="preserve"> et raccords </w:t>
      </w:r>
      <w:r>
        <w:rPr>
          <w:lang w:val="fr-FR"/>
        </w:rPr>
        <w:t>doit être soumis à un essai non destructif de 2 500 volts. Tout défaut constaté doit être réparé avant l'expédition.</w:t>
      </w:r>
    </w:p>
    <w:p w14:paraId="3FEF916F" w14:textId="3BEE1335" w:rsidR="001641A5" w:rsidRPr="00715EB9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7"/>
        </w:numPr>
        <w:shd w:val="clear" w:color="auto" w:fill="auto"/>
        <w:tabs>
          <w:tab w:val="left" w:pos="1569"/>
        </w:tabs>
        <w:spacing w:after="0"/>
        <w:ind w:left="1580" w:hanging="360"/>
        <w:rPr>
          <w:lang w:val="fr-CA"/>
        </w:rPr>
      </w:pPr>
      <w:r>
        <w:rPr>
          <w:lang w:val="fr-FR"/>
        </w:rPr>
        <w:t xml:space="preserve">Chaque </w:t>
      </w:r>
      <w:r w:rsidR="00476EBC" w:rsidRPr="00476EBC">
        <w:rPr>
          <w:lang w:val="fr-FR"/>
        </w:rPr>
        <w:t xml:space="preserve">tuyau </w:t>
      </w:r>
      <w:r w:rsidRPr="00476EBC">
        <w:rPr>
          <w:lang w:val="fr-FR"/>
        </w:rPr>
        <w:t xml:space="preserve">et raccord </w:t>
      </w:r>
      <w:r>
        <w:rPr>
          <w:lang w:val="fr-FR"/>
        </w:rPr>
        <w:t xml:space="preserve">doit porter la date d'application du revêtement ainsi que sa séquence numérique d'application à cette date </w:t>
      </w:r>
      <w:r w:rsidRPr="002A4FE2">
        <w:rPr>
          <w:lang w:val="fr-FR"/>
        </w:rPr>
        <w:t xml:space="preserve">et le registre </w:t>
      </w:r>
      <w:r w:rsidR="002A4FE2" w:rsidRPr="002A4FE2">
        <w:rPr>
          <w:lang w:val="fr-FR"/>
        </w:rPr>
        <w:t xml:space="preserve">des travaux doit être </w:t>
      </w:r>
      <w:r w:rsidRPr="002A4FE2">
        <w:rPr>
          <w:lang w:val="fr-FR"/>
        </w:rPr>
        <w:t>tenu par l'applicateur.</w:t>
      </w:r>
    </w:p>
    <w:p w14:paraId="64AB1D66" w14:textId="77777777" w:rsidR="001641A5" w:rsidRDefault="000D3D22" w:rsidP="000D3D22">
      <w:pPr>
        <w:pStyle w:val="Style6"/>
        <w:framePr w:w="9125" w:h="15133" w:hRule="exact" w:wrap="none" w:vAnchor="page" w:hAnchor="page" w:x="1659" w:y="577"/>
        <w:numPr>
          <w:ilvl w:val="0"/>
          <w:numId w:val="6"/>
        </w:numPr>
        <w:shd w:val="clear" w:color="auto" w:fill="auto"/>
        <w:tabs>
          <w:tab w:val="left" w:pos="1237"/>
        </w:tabs>
        <w:spacing w:after="0"/>
        <w:ind w:left="700" w:firstLine="0"/>
      </w:pPr>
      <w:r>
        <w:rPr>
          <w:lang w:val="fr-FR"/>
        </w:rPr>
        <w:t>Certification</w:t>
      </w:r>
    </w:p>
    <w:p w14:paraId="1393B63D" w14:textId="77777777" w:rsidR="001641A5" w:rsidRPr="00715EB9" w:rsidRDefault="000D3D22" w:rsidP="000D3D22">
      <w:pPr>
        <w:pStyle w:val="Style6"/>
        <w:framePr w:w="9125" w:h="15133" w:hRule="exact" w:wrap="none" w:vAnchor="page" w:hAnchor="page" w:x="1659" w:y="577"/>
        <w:shd w:val="clear" w:color="auto" w:fill="auto"/>
        <w:spacing w:after="105"/>
        <w:ind w:left="1220" w:firstLine="0"/>
        <w:rPr>
          <w:lang w:val="fr-CA"/>
        </w:rPr>
      </w:pPr>
      <w:r>
        <w:rPr>
          <w:lang w:val="fr-FR"/>
        </w:rPr>
        <w:t xml:space="preserve">Le fabricant de tuyaux ou de raccords doit fournir un certificat attestant que </w:t>
      </w:r>
      <w:r w:rsidRPr="006422FF">
        <w:rPr>
          <w:lang w:val="fr-FR"/>
        </w:rPr>
        <w:t>l'applicateur</w:t>
      </w:r>
      <w:r>
        <w:rPr>
          <w:lang w:val="fr-FR"/>
        </w:rPr>
        <w:t xml:space="preserve"> satisfaisait aux exigences de la présente spécification et que le matériau utilisé était tel que spécifié.</w:t>
      </w:r>
    </w:p>
    <w:p w14:paraId="24C2F005" w14:textId="77777777" w:rsidR="001641A5" w:rsidRDefault="000D3D22" w:rsidP="000D3D22">
      <w:pPr>
        <w:pStyle w:val="Style4"/>
        <w:framePr w:w="9125" w:h="15133" w:hRule="exact" w:wrap="none" w:vAnchor="page" w:hAnchor="page" w:x="1659" w:y="577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92" w:line="244" w:lineRule="exact"/>
      </w:pPr>
      <w:r>
        <w:rPr>
          <w:lang w:val="fr-FR"/>
        </w:rPr>
        <w:t>Manipulation</w:t>
      </w:r>
    </w:p>
    <w:p w14:paraId="657EA996" w14:textId="69C80CB7" w:rsidR="001641A5" w:rsidRPr="00715EB9" w:rsidRDefault="000D3D22" w:rsidP="000D3D22">
      <w:pPr>
        <w:pStyle w:val="Style6"/>
        <w:framePr w:w="9125" w:h="15133" w:hRule="exact" w:wrap="none" w:vAnchor="page" w:hAnchor="page" w:x="1659" w:y="577"/>
        <w:shd w:val="clear" w:color="auto" w:fill="auto"/>
        <w:spacing w:after="0" w:line="254" w:lineRule="exact"/>
        <w:ind w:left="700" w:firstLine="0"/>
        <w:rPr>
          <w:lang w:val="fr-CA"/>
        </w:rPr>
      </w:pPr>
      <w:r>
        <w:rPr>
          <w:lang w:val="fr-FR"/>
        </w:rPr>
        <w:t xml:space="preserve">Les tuyaux et raccords </w:t>
      </w:r>
      <w:r w:rsidR="00073B17">
        <w:rPr>
          <w:lang w:val="fr-FR"/>
        </w:rPr>
        <w:t>revêtus de</w:t>
      </w:r>
      <w:r>
        <w:rPr>
          <w:lang w:val="fr-FR"/>
        </w:rPr>
        <w:t xml:space="preserve"> Protecto 401</w:t>
      </w:r>
      <w:r w:rsidR="00073B17">
        <w:rPr>
          <w:vertAlign w:val="superscript"/>
          <w:lang w:val="fr-FR"/>
        </w:rPr>
        <w:t>TM</w:t>
      </w:r>
      <w:r>
        <w:rPr>
          <w:lang w:val="fr-FR"/>
        </w:rPr>
        <w:t xml:space="preserve"> doivent être manipulés uniquement </w:t>
      </w:r>
      <w:r w:rsidR="00073B17">
        <w:rPr>
          <w:lang w:val="fr-FR"/>
        </w:rPr>
        <w:t xml:space="preserve">par </w:t>
      </w:r>
      <w:r>
        <w:rPr>
          <w:lang w:val="fr-FR"/>
        </w:rPr>
        <w:t xml:space="preserve">l'extérieur. Les fourches, chaînes, sangles, crochets, etc. ne doivent pas être placés à l'intérieur du tuyau et des accessoires pour le levage, le </w:t>
      </w:r>
      <w:r w:rsidR="00183DC3">
        <w:rPr>
          <w:lang w:val="fr-FR"/>
        </w:rPr>
        <w:t>transport</w:t>
      </w:r>
      <w:r>
        <w:rPr>
          <w:lang w:val="fr-FR"/>
        </w:rPr>
        <w:t xml:space="preserve"> ou la pose. Le tuyau ne doit pas être lâché ou déchargé </w:t>
      </w:r>
      <w:r w:rsidR="00C83579">
        <w:rPr>
          <w:lang w:val="fr-FR"/>
        </w:rPr>
        <w:t>en le roulant en bas du camion</w:t>
      </w:r>
      <w:r>
        <w:rPr>
          <w:lang w:val="fr-FR"/>
        </w:rPr>
        <w:t xml:space="preserve">. </w:t>
      </w:r>
      <w:r w:rsidR="001F7342">
        <w:rPr>
          <w:lang w:val="fr-FR"/>
        </w:rPr>
        <w:t>Une attention</w:t>
      </w:r>
      <w:r>
        <w:rPr>
          <w:lang w:val="fr-FR"/>
        </w:rPr>
        <w:t xml:space="preserve"> doit être pris</w:t>
      </w:r>
      <w:r w:rsidR="001F7342">
        <w:rPr>
          <w:lang w:val="fr-FR"/>
        </w:rPr>
        <w:t>e</w:t>
      </w:r>
      <w:r>
        <w:rPr>
          <w:lang w:val="fr-FR"/>
        </w:rPr>
        <w:t xml:space="preserve"> pour ne pas laisser</w:t>
      </w:r>
    </w:p>
    <w:p w14:paraId="473CBB0E" w14:textId="77777777" w:rsidR="001641A5" w:rsidRPr="00715EB9" w:rsidRDefault="001641A5">
      <w:pPr>
        <w:rPr>
          <w:sz w:val="2"/>
          <w:szCs w:val="2"/>
          <w:lang w:val="fr-CA"/>
        </w:rPr>
        <w:sectPr w:rsidR="001641A5" w:rsidRPr="00715EB9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E0E093" w14:textId="7DCB474E" w:rsidR="001641A5" w:rsidRPr="00715EB9" w:rsidRDefault="000D3D22" w:rsidP="00330F10">
      <w:pPr>
        <w:pStyle w:val="Style6"/>
        <w:framePr w:w="9125" w:h="1141" w:hRule="exact" w:wrap="none" w:vAnchor="page" w:hAnchor="page" w:x="1659" w:y="697"/>
        <w:shd w:val="clear" w:color="auto" w:fill="auto"/>
        <w:spacing w:after="0"/>
        <w:ind w:left="700" w:right="540" w:firstLine="0"/>
        <w:rPr>
          <w:lang w:val="fr-CA"/>
        </w:rPr>
      </w:pPr>
      <w:proofErr w:type="gramStart"/>
      <w:r>
        <w:rPr>
          <w:lang w:val="fr-FR"/>
        </w:rPr>
        <w:lastRenderedPageBreak/>
        <w:t>le</w:t>
      </w:r>
      <w:proofErr w:type="gramEnd"/>
      <w:r>
        <w:rPr>
          <w:lang w:val="fr-FR"/>
        </w:rPr>
        <w:t xml:space="preserve"> tuyau frapper des objets tranchants </w:t>
      </w:r>
      <w:r w:rsidRPr="00EF1499">
        <w:rPr>
          <w:lang w:val="fr-FR"/>
        </w:rPr>
        <w:t xml:space="preserve">en </w:t>
      </w:r>
      <w:r w:rsidR="00EF1499" w:rsidRPr="00EF1499">
        <w:rPr>
          <w:lang w:val="fr-FR"/>
        </w:rPr>
        <w:t xml:space="preserve">le </w:t>
      </w:r>
      <w:r w:rsidRPr="00EF1499">
        <w:rPr>
          <w:lang w:val="fr-FR"/>
        </w:rPr>
        <w:t xml:space="preserve">balançant ou en </w:t>
      </w:r>
      <w:r w:rsidR="00EF1499">
        <w:rPr>
          <w:lang w:val="fr-FR"/>
        </w:rPr>
        <w:t>le déchargeant</w:t>
      </w:r>
      <w:r>
        <w:rPr>
          <w:lang w:val="fr-FR"/>
        </w:rPr>
        <w:t xml:space="preserve">. Les tuyaux en fonte ductile ne doivent jamais être </w:t>
      </w:r>
      <w:r w:rsidR="00413E1F">
        <w:rPr>
          <w:lang w:val="fr-FR"/>
        </w:rPr>
        <w:t>mis en place</w:t>
      </w:r>
      <w:r>
        <w:rPr>
          <w:lang w:val="fr-FR"/>
        </w:rPr>
        <w:t xml:space="preserve"> en utilisant la pression hydraulique d'un godet de pelle ou en </w:t>
      </w:r>
      <w:r w:rsidR="00AD4DF2">
        <w:rPr>
          <w:lang w:val="fr-FR"/>
        </w:rPr>
        <w:t xml:space="preserve">les </w:t>
      </w:r>
      <w:r>
        <w:rPr>
          <w:lang w:val="fr-FR"/>
        </w:rPr>
        <w:t xml:space="preserve">frappant avec des </w:t>
      </w:r>
      <w:r w:rsidRPr="000D65B3">
        <w:rPr>
          <w:lang w:val="fr-FR"/>
        </w:rPr>
        <w:t>marteaux lourds.</w:t>
      </w:r>
    </w:p>
    <w:p w14:paraId="71145518" w14:textId="77777777" w:rsidR="001641A5" w:rsidRPr="00715EB9" w:rsidRDefault="001641A5">
      <w:pPr>
        <w:rPr>
          <w:sz w:val="2"/>
          <w:szCs w:val="2"/>
          <w:lang w:val="fr-CA"/>
        </w:rPr>
      </w:pPr>
    </w:p>
    <w:sectPr w:rsidR="001641A5" w:rsidRPr="00715EB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A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25630EB9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hyphenationZone w:val="425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NTEwMzAwMjG2tDRT0lEKTi0uzszPAykwqgUA+SvqVCwAAAA="/>
  </w:docVars>
  <w:rsids>
    <w:rsidRoot w:val="001641A5"/>
    <w:rsid w:val="00033FB6"/>
    <w:rsid w:val="0006334F"/>
    <w:rsid w:val="0006710F"/>
    <w:rsid w:val="00073B17"/>
    <w:rsid w:val="00087B79"/>
    <w:rsid w:val="000D0D18"/>
    <w:rsid w:val="000D3D22"/>
    <w:rsid w:val="000D65B3"/>
    <w:rsid w:val="001264DA"/>
    <w:rsid w:val="001418A3"/>
    <w:rsid w:val="001528FE"/>
    <w:rsid w:val="00161A8B"/>
    <w:rsid w:val="001641A5"/>
    <w:rsid w:val="00183DC3"/>
    <w:rsid w:val="00192726"/>
    <w:rsid w:val="001A40D1"/>
    <w:rsid w:val="001B1E43"/>
    <w:rsid w:val="001D0156"/>
    <w:rsid w:val="001F7342"/>
    <w:rsid w:val="00214713"/>
    <w:rsid w:val="002165BF"/>
    <w:rsid w:val="00225BD8"/>
    <w:rsid w:val="00247888"/>
    <w:rsid w:val="0025115F"/>
    <w:rsid w:val="00280F9F"/>
    <w:rsid w:val="002A1340"/>
    <w:rsid w:val="002A4FE2"/>
    <w:rsid w:val="002A7FB4"/>
    <w:rsid w:val="002B6AD7"/>
    <w:rsid w:val="002C39F6"/>
    <w:rsid w:val="002C6D68"/>
    <w:rsid w:val="002D52EB"/>
    <w:rsid w:val="00330F10"/>
    <w:rsid w:val="00354D8F"/>
    <w:rsid w:val="003C1287"/>
    <w:rsid w:val="00410292"/>
    <w:rsid w:val="00413E1F"/>
    <w:rsid w:val="00427AA5"/>
    <w:rsid w:val="00446F8E"/>
    <w:rsid w:val="00453566"/>
    <w:rsid w:val="004643AF"/>
    <w:rsid w:val="00476EBC"/>
    <w:rsid w:val="00500374"/>
    <w:rsid w:val="00507E0B"/>
    <w:rsid w:val="0051792C"/>
    <w:rsid w:val="00533C00"/>
    <w:rsid w:val="00535E4E"/>
    <w:rsid w:val="005417A1"/>
    <w:rsid w:val="005460CA"/>
    <w:rsid w:val="005746C5"/>
    <w:rsid w:val="005A6A19"/>
    <w:rsid w:val="005C2967"/>
    <w:rsid w:val="005E1B78"/>
    <w:rsid w:val="006337B4"/>
    <w:rsid w:val="006422FF"/>
    <w:rsid w:val="00651822"/>
    <w:rsid w:val="00654714"/>
    <w:rsid w:val="00664048"/>
    <w:rsid w:val="006915F6"/>
    <w:rsid w:val="00691E08"/>
    <w:rsid w:val="00696CD2"/>
    <w:rsid w:val="006B3380"/>
    <w:rsid w:val="006C3F60"/>
    <w:rsid w:val="006C6420"/>
    <w:rsid w:val="006C7E71"/>
    <w:rsid w:val="006D573E"/>
    <w:rsid w:val="00707C95"/>
    <w:rsid w:val="00715EB9"/>
    <w:rsid w:val="007200FB"/>
    <w:rsid w:val="0078051E"/>
    <w:rsid w:val="007B31A1"/>
    <w:rsid w:val="007C528A"/>
    <w:rsid w:val="007E5852"/>
    <w:rsid w:val="00800F71"/>
    <w:rsid w:val="00801EB6"/>
    <w:rsid w:val="00803E83"/>
    <w:rsid w:val="0081426B"/>
    <w:rsid w:val="008557D7"/>
    <w:rsid w:val="00861779"/>
    <w:rsid w:val="008D15B9"/>
    <w:rsid w:val="008E2D2F"/>
    <w:rsid w:val="00903A24"/>
    <w:rsid w:val="00910AF8"/>
    <w:rsid w:val="00920476"/>
    <w:rsid w:val="00922E42"/>
    <w:rsid w:val="00924774"/>
    <w:rsid w:val="009427B0"/>
    <w:rsid w:val="009A79D0"/>
    <w:rsid w:val="009B3E32"/>
    <w:rsid w:val="009D3B18"/>
    <w:rsid w:val="009D6AE9"/>
    <w:rsid w:val="009F0C50"/>
    <w:rsid w:val="00A14F8B"/>
    <w:rsid w:val="00A21E34"/>
    <w:rsid w:val="00A432BB"/>
    <w:rsid w:val="00A641DA"/>
    <w:rsid w:val="00AA65D6"/>
    <w:rsid w:val="00AB07E8"/>
    <w:rsid w:val="00AC2C18"/>
    <w:rsid w:val="00AC5804"/>
    <w:rsid w:val="00AD4DF2"/>
    <w:rsid w:val="00AE0FAA"/>
    <w:rsid w:val="00B07D29"/>
    <w:rsid w:val="00B11247"/>
    <w:rsid w:val="00B227FF"/>
    <w:rsid w:val="00BA6B75"/>
    <w:rsid w:val="00BC2BD5"/>
    <w:rsid w:val="00C0628E"/>
    <w:rsid w:val="00C25B1A"/>
    <w:rsid w:val="00C6669F"/>
    <w:rsid w:val="00C83579"/>
    <w:rsid w:val="00CC4422"/>
    <w:rsid w:val="00CD553E"/>
    <w:rsid w:val="00CF3F68"/>
    <w:rsid w:val="00D42C2B"/>
    <w:rsid w:val="00D42F31"/>
    <w:rsid w:val="00D84CB1"/>
    <w:rsid w:val="00DF4711"/>
    <w:rsid w:val="00DF6CD0"/>
    <w:rsid w:val="00E05D1B"/>
    <w:rsid w:val="00E14F4A"/>
    <w:rsid w:val="00E65F12"/>
    <w:rsid w:val="00E83A84"/>
    <w:rsid w:val="00E84DB9"/>
    <w:rsid w:val="00EA68D1"/>
    <w:rsid w:val="00EB6BED"/>
    <w:rsid w:val="00ED38A0"/>
    <w:rsid w:val="00EE4655"/>
    <w:rsid w:val="00EF1499"/>
    <w:rsid w:val="00F17A6A"/>
    <w:rsid w:val="00F57D91"/>
    <w:rsid w:val="00F958C1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BCA1"/>
  <w15:docId w15:val="{9F3B88D2-B345-43E6-8CF7-D2148DD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680" w:line="274" w:lineRule="exact"/>
      <w:jc w:val="center"/>
      <w:outlineLvl w:val="0"/>
    </w:pPr>
    <w:rPr>
      <w:b/>
      <w:bCs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before="680" w:line="250" w:lineRule="exact"/>
    </w:pPr>
    <w:rPr>
      <w:b/>
      <w:bCs/>
      <w:sz w:val="22"/>
      <w:szCs w:val="22"/>
    </w:rPr>
  </w:style>
  <w:style w:type="paragraph" w:customStyle="1" w:styleId="Style6">
    <w:name w:val="Style 6"/>
    <w:basedOn w:val="Normal"/>
    <w:link w:val="CharStyle7"/>
    <w:pPr>
      <w:shd w:val="clear" w:color="auto" w:fill="FFFFFF"/>
      <w:spacing w:after="100" w:line="250" w:lineRule="exact"/>
      <w:ind w:hanging="54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1D62D3D78CA4BB0A34132C4C4FD73" ma:contentTypeVersion="13" ma:contentTypeDescription="Create a new document." ma:contentTypeScope="" ma:versionID="a505bf2eb56648981c0bb39e82d8078c">
  <xsd:schema xmlns:xsd="http://www.w3.org/2001/XMLSchema" xmlns:xs="http://www.w3.org/2001/XMLSchema" xmlns:p="http://schemas.microsoft.com/office/2006/metadata/properties" xmlns:ns3="8254d101-f83d-421f-bffb-119b641f18b3" xmlns:ns4="6f7fbcbc-f59f-42cb-a9cc-86386647b9ff" targetNamespace="http://schemas.microsoft.com/office/2006/metadata/properties" ma:root="true" ma:fieldsID="717ecca6b22479e8a42a9bd4d0cf326f" ns3:_="" ns4:_="">
    <xsd:import namespace="8254d101-f83d-421f-bffb-119b641f18b3"/>
    <xsd:import namespace="6f7fbcbc-f59f-42cb-a9cc-86386647b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d101-f83d-421f-bffb-119b641f1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bcbc-f59f-42cb-a9cc-86386647b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E458-F7AB-46BC-8C11-77F6BA807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4d101-f83d-421f-bffb-119b641f18b3"/>
    <ds:schemaRef ds:uri="6f7fbcbc-f59f-42cb-a9cc-86386647b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0998A-E589-4272-B6C4-2F6AF4D8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AC1CE-A258-43D1-BC74-987EC6C02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EEF16-B44A-5A46-91B4-AABFD99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Specification for</vt:lpstr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Specification for</dc:title>
  <dc:creator>Rita Whitlock</dc:creator>
  <cp:lastModifiedBy>Microsoft Office User</cp:lastModifiedBy>
  <cp:revision>3</cp:revision>
  <dcterms:created xsi:type="dcterms:W3CDTF">2020-01-28T16:11:00Z</dcterms:created>
  <dcterms:modified xsi:type="dcterms:W3CDTF">2020-06-12T16:30:00Z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0x01010092F1D62D3D78CA4BB0A34132C4C4FD73</vt:lpwstr>
  </property>
</Properties>
</file>